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AC" w:rsidRPr="00392D56" w:rsidRDefault="00B907AC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3.6pt;margin-top:-3.9pt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907AC" w:rsidRDefault="00B907AC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B907AC" w:rsidRDefault="00B907AC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B907AC" w:rsidRPr="00332159" w:rsidRDefault="00B907AC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907AC" w:rsidRPr="00834305" w:rsidRDefault="00B907AC" w:rsidP="008D6C4F">
      <w:pPr>
        <w:pStyle w:val="Header"/>
        <w:tabs>
          <w:tab w:val="clear" w:pos="4819"/>
          <w:tab w:val="clear" w:pos="9638"/>
          <w:tab w:val="center" w:pos="5040"/>
          <w:tab w:val="right" w:pos="8460"/>
        </w:tabs>
        <w:ind w:firstLine="234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</w:p>
    <w:p w:rsidR="00B907AC" w:rsidRDefault="00B907AC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Pr="00F615D0" w:rsidRDefault="00B907AC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B907AC" w:rsidRDefault="00B907AC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Pr="008B4185" w:rsidRDefault="00B907AC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25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</w:t>
      </w:r>
      <w:r w:rsidRPr="003A0373">
        <w:rPr>
          <w:rFonts w:ascii="Garamond" w:hAnsi="Garamond" w:cs="Garamond"/>
          <w:b/>
          <w:bCs/>
          <w:sz w:val="32"/>
          <w:szCs w:val="32"/>
          <w:u w:val="double"/>
        </w:rPr>
        <w:t>Adozione   20/01/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B907AC" w:rsidRPr="009F4503" w:rsidRDefault="00B907AC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B907AC" w:rsidRDefault="00B907AC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Default="00B907AC" w:rsidP="00E9207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z w:val="26"/>
          <w:szCs w:val="26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021 - 10°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10°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693FE0">
        <w:rPr>
          <w:rFonts w:ascii="Garamond" w:hAnsi="Garamond" w:cs="Garamond"/>
          <w:spacing w:val="10"/>
          <w:sz w:val="24"/>
          <w:szCs w:val="24"/>
        </w:rPr>
        <w:t xml:space="preserve"> </w:t>
      </w:r>
    </w:p>
    <w:p w:rsidR="00B907AC" w:rsidRPr="009C5921" w:rsidRDefault="00B907AC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B907AC" w:rsidRPr="00281D48" w:rsidRDefault="00B907AC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B907AC" w:rsidRDefault="00B907AC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Default="00B907AC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Default="00B907AC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Default="00B907AC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Default="00B907AC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907AC" w:rsidRDefault="00B907AC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B907AC" w:rsidRDefault="00B907AC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Default="00B907AC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Default="00B907AC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907AC" w:rsidRDefault="00B907AC" w:rsidP="00A9473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</w:t>
      </w:r>
      <w:r w:rsidRPr="00647C54">
        <w:rPr>
          <w:rFonts w:ascii="Garamond" w:hAnsi="Garamond" w:cs="Garamond"/>
          <w:b/>
          <w:bCs/>
          <w:sz w:val="24"/>
          <w:szCs w:val="24"/>
          <w:u w:val="double"/>
        </w:rPr>
        <w:t xml:space="preserve">GENERALE N. 25 </w:t>
      </w:r>
      <w:r w:rsidRPr="003A0373">
        <w:rPr>
          <w:rFonts w:ascii="Garamond" w:hAnsi="Garamond" w:cs="Garamond"/>
          <w:b/>
          <w:bCs/>
          <w:sz w:val="24"/>
          <w:szCs w:val="24"/>
          <w:u w:val="double"/>
        </w:rPr>
        <w:t>DEL  20 GENNAIO 2016</w:t>
      </w:r>
    </w:p>
    <w:p w:rsidR="00B907AC" w:rsidRDefault="00B907AC" w:rsidP="00A9473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907AC" w:rsidRDefault="00B907AC" w:rsidP="00A94735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3A0373">
        <w:rPr>
          <w:rFonts w:ascii="Garamond" w:hAnsi="Garamond" w:cs="Garamond"/>
        </w:rPr>
        <w:t>giorno 20 del</w:t>
      </w:r>
      <w:r>
        <w:rPr>
          <w:rFonts w:ascii="Garamond" w:hAnsi="Garamond" w:cs="Garamond"/>
        </w:rPr>
        <w:t xml:space="preserve"> mese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B907AC" w:rsidRPr="000A6B6C" w:rsidRDefault="00B907AC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B907AC" w:rsidRPr="00BB389D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B907AC" w:rsidRPr="000A6B6C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B907AC" w:rsidRPr="000A6B6C" w:rsidRDefault="00B907AC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B907AC" w:rsidRPr="000A6B6C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B907AC" w:rsidRPr="000A6B6C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B907AC" w:rsidRPr="000A6B6C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B907AC" w:rsidRPr="000A6B6C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B907AC" w:rsidRPr="000A6B6C" w:rsidRDefault="00B907AC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B907AC" w:rsidRPr="000A6B6C" w:rsidRDefault="00B907AC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B907AC" w:rsidRPr="000A6B6C" w:rsidRDefault="00B907AC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B907AC" w:rsidRPr="000A6B6C" w:rsidRDefault="00B907AC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B907AC" w:rsidRDefault="00B907AC" w:rsidP="00E9207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E9207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B907AC" w:rsidRDefault="00B907AC" w:rsidP="00C973A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56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B907AC" w:rsidRPr="00364B16" w:rsidRDefault="00B907AC" w:rsidP="00364B16">
      <w:pPr>
        <w:pStyle w:val="ListParagraph"/>
        <w:numPr>
          <w:ilvl w:val="0"/>
          <w:numId w:val="3"/>
        </w:numPr>
        <w:spacing w:line="360" w:lineRule="auto"/>
        <w:ind w:left="567" w:hanging="578"/>
        <w:jc w:val="both"/>
        <w:rPr>
          <w:rFonts w:ascii="Garamond" w:hAnsi="Garamond"/>
          <w:sz w:val="22"/>
          <w:szCs w:val="22"/>
          <w:lang w:eastAsia="en-US"/>
        </w:rPr>
      </w:pPr>
      <w:r w:rsidRPr="00364B16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B907AC" w:rsidRPr="00364B16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64B16">
        <w:rPr>
          <w:rFonts w:ascii="Garamond" w:hAnsi="Garamond" w:cs="Garamond"/>
        </w:rPr>
        <w:t xml:space="preserve">Vista la necessita di redigere un progetto denominato </w:t>
      </w:r>
      <w:r w:rsidRPr="00364B16">
        <w:rPr>
          <w:rFonts w:ascii="Garamond" w:hAnsi="Garamond" w:cs="Garamond"/>
          <w:spacing w:val="10"/>
        </w:rPr>
        <w:t xml:space="preserve">LOTTO n° 021 - 10° Stralcio INTERVENTI DI RIPRISTINO DELL'EQUILIBRIO SEDIMENTOLOGICO DEL FIUME ALBEGNA  A SEGUITO DELL'EVENTO ALLUVIONALE DEL 14 OTTOBRE 2014 - ZONA DI INTERVENTO: DAL PONTE SULLA S.P. 94 DI S. ANDREA AL PONTE SULLA S.P. 112 USI – 10° TRATTO </w:t>
      </w:r>
      <w:r w:rsidRPr="00364B16">
        <w:rPr>
          <w:rFonts w:ascii="Garamond" w:hAnsi="Garamond" w:cs="Garamond"/>
        </w:rPr>
        <w:t>dell’ importo di € 300.000,00;</w:t>
      </w:r>
    </w:p>
    <w:p w:rsidR="00B907AC" w:rsidRPr="00364B16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64B16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B907AC" w:rsidRPr="00364B16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64B16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B907AC" w:rsidRPr="00364B16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64B16">
        <w:rPr>
          <w:rFonts w:ascii="Garamond" w:hAnsi="Garamond" w:cs="Garamond"/>
        </w:rPr>
        <w:t>Visto il parere del Direttore dell’ Area Studio e Progettazione;</w:t>
      </w:r>
    </w:p>
    <w:p w:rsidR="00B907AC" w:rsidRPr="00364B16" w:rsidRDefault="00B907AC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64B16">
        <w:rPr>
          <w:rFonts w:ascii="Garamond" w:hAnsi="Garamond" w:cs="Garamond"/>
        </w:rPr>
        <w:t xml:space="preserve">Verificata la disponibilità di Bilancio di Previsione 2016 - Titolo 2 - categoria 1 - capitolo 13 “ lavori in concessione”, al capitolo 13 articolo 96 in entrata e al capitolo 25 articolo 96 in uscita; </w:t>
      </w:r>
    </w:p>
    <w:p w:rsidR="00B907AC" w:rsidRPr="002845EF" w:rsidRDefault="00B907AC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64B16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2845EF">
        <w:rPr>
          <w:rFonts w:ascii="Garamond" w:hAnsi="Garamond" w:cs="Garamond"/>
        </w:rPr>
        <w:t>;</w:t>
      </w:r>
    </w:p>
    <w:p w:rsidR="00B907AC" w:rsidRPr="00647C54" w:rsidRDefault="00B907AC" w:rsidP="00647C54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647C54">
        <w:rPr>
          <w:rFonts w:ascii="Garamond" w:hAnsi="Garamond" w:cs="Garamond"/>
          <w:b/>
          <w:bCs/>
          <w:i/>
          <w:iCs/>
        </w:rPr>
        <w:t>IL DIRETTORE GENERALE</w:t>
      </w:r>
    </w:p>
    <w:p w:rsidR="00B907AC" w:rsidRPr="00E206C7" w:rsidRDefault="00B907AC" w:rsidP="00647C54">
      <w:pPr>
        <w:ind w:left="561"/>
        <w:jc w:val="center"/>
        <w:rPr>
          <w:rFonts w:ascii="Garamond" w:hAnsi="Garamond" w:cs="Garamond"/>
        </w:rPr>
      </w:pPr>
      <w:r w:rsidRPr="00647C54">
        <w:rPr>
          <w:rFonts w:ascii="Garamond" w:hAnsi="Garamond" w:cs="Garamond"/>
          <w:b/>
          <w:bCs/>
          <w:i/>
          <w:iCs/>
        </w:rPr>
        <w:t>DECRETA</w:t>
      </w:r>
    </w:p>
    <w:p w:rsidR="00B907AC" w:rsidRPr="007D3C05" w:rsidRDefault="00B907AC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364B16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364B16">
        <w:rPr>
          <w:rFonts w:ascii="Garamond" w:hAnsi="Garamond" w:cs="Garamond"/>
          <w:spacing w:val="10"/>
        </w:rPr>
        <w:t xml:space="preserve">LOTTO n° 021 - 10° Stralcio INTERVENTI DI RIPRISTINO DELL'EQUILIBRIO SEDIMENTOLOGICO DEL FIUME ALBEGNA  A SEGUITO DELL'EVENTO ALLUVIONALE DEL 14 OTTOBRE 2014 - ZONA DI INTERVENTO: DAL PONTE SULLA S.P. 94 DI S. ANDREA AL PONTE SULLA S.P. 112 USI – 10° TRATTO </w:t>
      </w:r>
      <w:r w:rsidRPr="00364B16">
        <w:rPr>
          <w:rFonts w:ascii="Garamond" w:hAnsi="Garamond" w:cs="Garamond"/>
        </w:rPr>
        <w:t xml:space="preserve"> Responsabile Unico del Procedimento il Geom. Patrizio Serrotti;</w:t>
      </w:r>
    </w:p>
    <w:p w:rsidR="00B907AC" w:rsidRPr="00364B16" w:rsidRDefault="00B907AC" w:rsidP="007D3C0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  <w:bookmarkStart w:id="0" w:name="_GoBack"/>
      <w:bookmarkEnd w:id="0"/>
    </w:p>
    <w:p w:rsidR="00B907AC" w:rsidRPr="00E206C7" w:rsidRDefault="00B907AC" w:rsidP="007D3C05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B907AC" w:rsidRDefault="00B907AC" w:rsidP="007D3C05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B907AC" w:rsidRDefault="00B907AC" w:rsidP="007D3C0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B907AC" w:rsidRPr="00833C7F">
        <w:trPr>
          <w:trHeight w:val="715"/>
        </w:trPr>
        <w:tc>
          <w:tcPr>
            <w:tcW w:w="5000" w:type="pct"/>
          </w:tcPr>
          <w:p w:rsidR="00B907AC" w:rsidRPr="00833C7F" w:rsidRDefault="00B907AC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B907AC" w:rsidRDefault="00B907AC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907AC" w:rsidRPr="00833C7F" w:rsidRDefault="00B907AC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B907AC" w:rsidRDefault="00B907AC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B907AC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C" w:rsidRDefault="00B907AC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B907AC" w:rsidRDefault="00B907AC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907AC" w:rsidRDefault="00B907AC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907AC" w:rsidRDefault="00B907AC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B907AC" w:rsidRDefault="00B907AC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B907AC">
        <w:trPr>
          <w:trHeight w:val="1800"/>
        </w:trPr>
        <w:tc>
          <w:tcPr>
            <w:tcW w:w="10080" w:type="dxa"/>
          </w:tcPr>
          <w:p w:rsidR="00B907AC" w:rsidRPr="00012C84" w:rsidRDefault="00B907AC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B907AC" w:rsidRDefault="00B907AC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B907AC" w:rsidRDefault="00B907AC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B907AC" w:rsidRDefault="00B907AC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907AC" w:rsidRPr="00A730DE" w:rsidRDefault="00B907AC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B907AC" w:rsidRDefault="00B907AC" w:rsidP="007D3C0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B907AC" w:rsidRDefault="00B907AC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B907AC" w:rsidSect="008D6C4F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AC" w:rsidRDefault="00B907AC" w:rsidP="00372E6B">
      <w:pPr>
        <w:spacing w:after="0" w:line="240" w:lineRule="auto"/>
      </w:pPr>
      <w:r>
        <w:separator/>
      </w:r>
    </w:p>
  </w:endnote>
  <w:endnote w:type="continuationSeparator" w:id="0">
    <w:p w:rsidR="00B907AC" w:rsidRDefault="00B907A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AC" w:rsidRDefault="00B907AC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B907AC" w:rsidRDefault="00B907AC" w:rsidP="00372E6B">
    <w:pPr>
      <w:pStyle w:val="Footer"/>
    </w:pPr>
    <w:r>
      <w:t xml:space="preserve">                                  </w:t>
    </w:r>
  </w:p>
  <w:p w:rsidR="00B907AC" w:rsidRPr="00372E6B" w:rsidRDefault="00B907AC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1in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AC" w:rsidRDefault="00B907AC" w:rsidP="00372E6B">
      <w:pPr>
        <w:spacing w:after="0" w:line="240" w:lineRule="auto"/>
      </w:pPr>
      <w:r>
        <w:separator/>
      </w:r>
    </w:p>
  </w:footnote>
  <w:footnote w:type="continuationSeparator" w:id="0">
    <w:p w:rsidR="00B907AC" w:rsidRDefault="00B907A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CE6A3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403F"/>
    <w:rsid w:val="00057EF5"/>
    <w:rsid w:val="00061822"/>
    <w:rsid w:val="00081D1C"/>
    <w:rsid w:val="00094B7B"/>
    <w:rsid w:val="00094D85"/>
    <w:rsid w:val="0009647A"/>
    <w:rsid w:val="000A1E76"/>
    <w:rsid w:val="000A38D5"/>
    <w:rsid w:val="000A6B6C"/>
    <w:rsid w:val="000B5597"/>
    <w:rsid w:val="000C123D"/>
    <w:rsid w:val="000C41BC"/>
    <w:rsid w:val="000D3387"/>
    <w:rsid w:val="000D585D"/>
    <w:rsid w:val="000D5EA9"/>
    <w:rsid w:val="000E4CC5"/>
    <w:rsid w:val="000E5D53"/>
    <w:rsid w:val="00100DEE"/>
    <w:rsid w:val="00103B0E"/>
    <w:rsid w:val="00126A15"/>
    <w:rsid w:val="00127EF6"/>
    <w:rsid w:val="00170C1D"/>
    <w:rsid w:val="00180EF6"/>
    <w:rsid w:val="00183370"/>
    <w:rsid w:val="001A4910"/>
    <w:rsid w:val="001B57F8"/>
    <w:rsid w:val="001C4543"/>
    <w:rsid w:val="001D534B"/>
    <w:rsid w:val="001F035E"/>
    <w:rsid w:val="001F1395"/>
    <w:rsid w:val="001F28D0"/>
    <w:rsid w:val="001F5B27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5EF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9BE"/>
    <w:rsid w:val="00333EB2"/>
    <w:rsid w:val="00347D06"/>
    <w:rsid w:val="00356456"/>
    <w:rsid w:val="003607BE"/>
    <w:rsid w:val="003646F9"/>
    <w:rsid w:val="00364B16"/>
    <w:rsid w:val="00372E6B"/>
    <w:rsid w:val="00373AD6"/>
    <w:rsid w:val="003849BC"/>
    <w:rsid w:val="00392D56"/>
    <w:rsid w:val="0039724A"/>
    <w:rsid w:val="003A0373"/>
    <w:rsid w:val="003A7452"/>
    <w:rsid w:val="003D6BF1"/>
    <w:rsid w:val="003E0354"/>
    <w:rsid w:val="003E368D"/>
    <w:rsid w:val="003E37F1"/>
    <w:rsid w:val="003F07AB"/>
    <w:rsid w:val="003F351A"/>
    <w:rsid w:val="003F6817"/>
    <w:rsid w:val="004075F8"/>
    <w:rsid w:val="0041630F"/>
    <w:rsid w:val="004314E4"/>
    <w:rsid w:val="00431968"/>
    <w:rsid w:val="0044018D"/>
    <w:rsid w:val="00441F91"/>
    <w:rsid w:val="0045524C"/>
    <w:rsid w:val="004624D6"/>
    <w:rsid w:val="00465063"/>
    <w:rsid w:val="00471D8C"/>
    <w:rsid w:val="00472A1E"/>
    <w:rsid w:val="004843D1"/>
    <w:rsid w:val="004936DE"/>
    <w:rsid w:val="004972E0"/>
    <w:rsid w:val="004C3D4D"/>
    <w:rsid w:val="004D3C3C"/>
    <w:rsid w:val="004E38CA"/>
    <w:rsid w:val="004E52F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32F8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33CC2"/>
    <w:rsid w:val="00641327"/>
    <w:rsid w:val="00647C54"/>
    <w:rsid w:val="00652C52"/>
    <w:rsid w:val="00667BD8"/>
    <w:rsid w:val="00693FE0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5277C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3C05"/>
    <w:rsid w:val="007F283E"/>
    <w:rsid w:val="007F2D11"/>
    <w:rsid w:val="00804288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36B4"/>
    <w:rsid w:val="008C67B6"/>
    <w:rsid w:val="008D6C4F"/>
    <w:rsid w:val="008E42C8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016"/>
    <w:rsid w:val="00A44B8E"/>
    <w:rsid w:val="00A63AAD"/>
    <w:rsid w:val="00A730DE"/>
    <w:rsid w:val="00A74BDA"/>
    <w:rsid w:val="00A75668"/>
    <w:rsid w:val="00A84C95"/>
    <w:rsid w:val="00A87102"/>
    <w:rsid w:val="00A93A23"/>
    <w:rsid w:val="00A94735"/>
    <w:rsid w:val="00AA0398"/>
    <w:rsid w:val="00AA586F"/>
    <w:rsid w:val="00AB17C5"/>
    <w:rsid w:val="00AB422D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2797C"/>
    <w:rsid w:val="00B422E5"/>
    <w:rsid w:val="00B4724B"/>
    <w:rsid w:val="00B51210"/>
    <w:rsid w:val="00B546D9"/>
    <w:rsid w:val="00B700B8"/>
    <w:rsid w:val="00B75392"/>
    <w:rsid w:val="00B85ADE"/>
    <w:rsid w:val="00B907AC"/>
    <w:rsid w:val="00BA5A21"/>
    <w:rsid w:val="00BA73B1"/>
    <w:rsid w:val="00BB389D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973A8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1C04"/>
    <w:rsid w:val="00D324C6"/>
    <w:rsid w:val="00D3390A"/>
    <w:rsid w:val="00D33F1D"/>
    <w:rsid w:val="00D41B76"/>
    <w:rsid w:val="00D6655D"/>
    <w:rsid w:val="00D7466F"/>
    <w:rsid w:val="00D84D7D"/>
    <w:rsid w:val="00D95B46"/>
    <w:rsid w:val="00D97FFE"/>
    <w:rsid w:val="00DA15F9"/>
    <w:rsid w:val="00DA4536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92077"/>
    <w:rsid w:val="00EA0416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31D8F"/>
    <w:rsid w:val="00F420F9"/>
    <w:rsid w:val="00F43E28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38CA"/>
    <w:rsid w:val="00F914F8"/>
    <w:rsid w:val="00FA0621"/>
    <w:rsid w:val="00FA2469"/>
    <w:rsid w:val="00FA2FFF"/>
    <w:rsid w:val="00FB4710"/>
    <w:rsid w:val="00FB4992"/>
    <w:rsid w:val="00FD06FB"/>
    <w:rsid w:val="00FD3F0F"/>
    <w:rsid w:val="00FD3F57"/>
    <w:rsid w:val="00FD4F7D"/>
    <w:rsid w:val="00FE55FC"/>
    <w:rsid w:val="00FE64BF"/>
    <w:rsid w:val="00FF0AD2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1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1031</Words>
  <Characters>5878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14</cp:revision>
  <cp:lastPrinted>2016-01-19T12:10:00Z</cp:lastPrinted>
  <dcterms:created xsi:type="dcterms:W3CDTF">2016-01-19T14:43:00Z</dcterms:created>
  <dcterms:modified xsi:type="dcterms:W3CDTF">2016-01-21T15:26:00Z</dcterms:modified>
</cp:coreProperties>
</file>