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7" w:rsidRPr="00392D56" w:rsidRDefault="00E73677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73677" w:rsidRDefault="00E73677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E73677" w:rsidRDefault="00E73677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E73677" w:rsidRPr="00332159" w:rsidRDefault="00E73677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73677" w:rsidRPr="00834305" w:rsidRDefault="00E73677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E73677" w:rsidRDefault="00E73677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Pr="00F615D0" w:rsidRDefault="00E73677" w:rsidP="00F2654D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E73677" w:rsidRDefault="00E73677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Pr="008B4185" w:rsidRDefault="00E73677" w:rsidP="00F2654D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29/06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/2015</w:t>
      </w:r>
    </w:p>
    <w:p w:rsidR="00E73677" w:rsidRPr="009F4503" w:rsidRDefault="00E73677" w:rsidP="00F2654D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73677" w:rsidRDefault="00E73677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Pr="009C5921" w:rsidRDefault="00E73677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  <w:r w:rsidRPr="00281D48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</w:t>
      </w:r>
      <w:r w:rsidRPr="009C5921">
        <w:rPr>
          <w:rFonts w:ascii="Garamond" w:hAnsi="Garamond" w:cs="Garamond"/>
          <w:b/>
          <w:bCs/>
          <w:spacing w:val="10"/>
          <w:sz w:val="24"/>
          <w:szCs w:val="24"/>
        </w:rPr>
        <w:t>pprova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zione</w:t>
      </w:r>
      <w:r w:rsidRPr="009C5921"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Progetto DEFINITIVO-ESECUTIVO </w:t>
      </w:r>
      <w:r w:rsidRPr="009C5921">
        <w:rPr>
          <w:rFonts w:ascii="Garamond" w:hAnsi="Garamond" w:cs="Garamond"/>
          <w:b/>
          <w:bCs/>
          <w:spacing w:val="10"/>
          <w:sz w:val="24"/>
          <w:szCs w:val="24"/>
        </w:rPr>
        <w:t>denominato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 w:rsidRPr="009C5921">
        <w:rPr>
          <w:rFonts w:ascii="Garamond" w:hAnsi="Garamond" w:cs="Garamond"/>
          <w:b/>
          <w:bCs/>
          <w:spacing w:val="10"/>
          <w:sz w:val="24"/>
          <w:szCs w:val="24"/>
        </w:rPr>
        <w:t>“</w:t>
      </w:r>
      <w:r w:rsidRPr="008E5C67">
        <w:rPr>
          <w:rFonts w:ascii="Garamond" w:hAnsi="Garamond" w:cs="Garamond"/>
          <w:b/>
          <w:bCs/>
          <w:spacing w:val="10"/>
          <w:sz w:val="24"/>
          <w:szCs w:val="24"/>
        </w:rPr>
        <w:t>LOTTO N.01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6</w:t>
      </w:r>
      <w:r w:rsidRPr="008E5C67">
        <w:rPr>
          <w:rFonts w:ascii="Garamond" w:hAnsi="Garamond" w:cs="Garamond"/>
          <w:b/>
          <w:bCs/>
          <w:spacing w:val="10"/>
          <w:sz w:val="24"/>
          <w:szCs w:val="24"/>
        </w:rPr>
        <w:t xml:space="preserve"> - </w:t>
      </w:r>
      <w:r w:rsidRPr="00693FE0">
        <w:rPr>
          <w:rFonts w:ascii="Garamond" w:hAnsi="Garamond" w:cs="Garamond"/>
          <w:b/>
          <w:bCs/>
          <w:spacing w:val="10"/>
          <w:sz w:val="24"/>
          <w:szCs w:val="24"/>
        </w:rPr>
        <w:t>2012EGR0258 - LAVORI DI RIPRISTINO DELLE SEZIONI DI DEFLUSSO DEL FIUME ALBEGNA - PROSECUZIONE DEI LAVORI DI RIMOZIONE MACRORINTERRI IN ALVEO (int.36)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”</w:t>
      </w:r>
      <w:r w:rsidRPr="009C5921">
        <w:rPr>
          <w:rFonts w:ascii="Garamond" w:hAnsi="Garamond" w:cs="Garamond"/>
          <w:b/>
          <w:bCs/>
          <w:spacing w:val="10"/>
          <w:sz w:val="24"/>
          <w:szCs w:val="24"/>
        </w:rPr>
        <w:t xml:space="preserve"> dell'importo complessivo di € 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1.000.000,00.</w:t>
      </w:r>
    </w:p>
    <w:p w:rsidR="00E73677" w:rsidRDefault="00E73677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73677" w:rsidRPr="009C5921" w:rsidRDefault="00E73677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E73677" w:rsidRPr="00281D48" w:rsidRDefault="00E73677" w:rsidP="00F2654D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E73677" w:rsidRDefault="00E73677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Default="00E73677" w:rsidP="00F2654D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Default="00E73677" w:rsidP="00F2654D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Default="00E73677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Default="00E73677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73677" w:rsidRPr="00F615D0" w:rsidRDefault="00E73677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E73677" w:rsidRDefault="00E73677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E73677" w:rsidRDefault="00E73677" w:rsidP="00F2654D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73677" w:rsidRPr="00E206C7" w:rsidRDefault="00E73677" w:rsidP="007B1D2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29 DEL  29 GIUGNO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2015</w:t>
      </w:r>
    </w:p>
    <w:p w:rsidR="00E73677" w:rsidRDefault="00E73677" w:rsidP="00F2654D">
      <w:pPr>
        <w:spacing w:line="360" w:lineRule="exact"/>
        <w:ind w:left="189"/>
        <w:jc w:val="both"/>
        <w:rPr>
          <w:rFonts w:ascii="Garamond" w:hAnsi="Garamond" w:cs="Garamond"/>
        </w:rPr>
      </w:pPr>
    </w:p>
    <w:p w:rsidR="00E73677" w:rsidRPr="00E206C7" w:rsidRDefault="00E73677" w:rsidP="00F2654D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29 </w:t>
      </w:r>
      <w:r w:rsidRPr="00E206C7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Giugno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09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E73677" w:rsidRPr="00E206C7" w:rsidRDefault="00E73677" w:rsidP="00F2654D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E73677" w:rsidRPr="00E206C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E73677" w:rsidRPr="00E206C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3677" w:rsidRPr="00E206C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E7367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in particolare l’Art. 39 lettera e) del Vigente Statuto;</w:t>
      </w:r>
    </w:p>
    <w:p w:rsidR="00E73677" w:rsidRPr="00F655F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D.Lgs. 12 aprile 2006, n. 163 “Codice dei contratti di lavori, servizi e forniture;</w:t>
      </w:r>
    </w:p>
    <w:p w:rsidR="00E73677" w:rsidRPr="00F655F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E73677" w:rsidRPr="00F655F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E73677" w:rsidRPr="00F655F7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E73677" w:rsidRPr="00AA586F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936DE">
        <w:rPr>
          <w:rFonts w:ascii="Garamond" w:hAnsi="Garamond" w:cs="Garamond"/>
        </w:rPr>
        <w:t xml:space="preserve">Viste le eccezionali precipitazioni atmosferiche abbattutesi nel comprensorio dell’ex </w:t>
      </w:r>
      <w:r>
        <w:rPr>
          <w:rFonts w:ascii="Garamond" w:hAnsi="Garamond" w:cs="Garamond"/>
        </w:rPr>
        <w:t>Osa Albegna</w:t>
      </w:r>
      <w:r w:rsidRPr="00AA586F">
        <w:rPr>
          <w:rFonts w:ascii="Garamond" w:hAnsi="Garamond" w:cs="Garamond"/>
        </w:rPr>
        <w:t xml:space="preserve"> nei giorni 11 e 12 novembre 2012; </w:t>
      </w:r>
    </w:p>
    <w:p w:rsidR="00E73677" w:rsidRPr="00AA586F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A586F">
        <w:rPr>
          <w:rFonts w:ascii="Garamond" w:hAnsi="Garamond" w:cs="Garamond"/>
        </w:rPr>
        <w:t>Considerate le frequenti piene delle stagioni invernali trascorse;</w:t>
      </w:r>
    </w:p>
    <w:p w:rsidR="00E73677" w:rsidRPr="00AA586F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A586F">
        <w:rPr>
          <w:rFonts w:ascii="Garamond" w:hAnsi="Garamond" w:cs="Garamond"/>
        </w:rPr>
        <w:t>Considerati i sopralluoghi effettuati dai tecnici del Consorzio;</w:t>
      </w:r>
    </w:p>
    <w:p w:rsidR="00E73677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A586F">
        <w:rPr>
          <w:rFonts w:ascii="Garamond" w:hAnsi="Garamond" w:cs="Garamond"/>
        </w:rPr>
        <w:t xml:space="preserve">Vista la necessità di predisporre un intervento di ripristino dei luoghi per garantire l’efficienza idraulica del tratto di fiume </w:t>
      </w:r>
      <w:r>
        <w:rPr>
          <w:rFonts w:ascii="Garamond" w:hAnsi="Garamond" w:cs="Garamond"/>
        </w:rPr>
        <w:t>Albegna</w:t>
      </w:r>
      <w:r w:rsidRPr="00AA586F">
        <w:rPr>
          <w:rFonts w:ascii="Garamond" w:hAnsi="Garamond" w:cs="Garamond"/>
        </w:rPr>
        <w:t xml:space="preserve"> in esame;</w:t>
      </w:r>
    </w:p>
    <w:p w:rsidR="00E73677" w:rsidRPr="007A29BC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comunicazione prot. n. 4806 eseguita dal Consorzio previo accordo con le soprintendenze competenti ai fini autorizzativi, essendo i lavori previsti nel Lotto 016 contigui e continuativi a quelli già autorizzati nel Lotto 015;</w:t>
      </w:r>
    </w:p>
    <w:p w:rsidR="00E73677" w:rsidRPr="00693FE0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93FE0">
        <w:rPr>
          <w:rFonts w:ascii="Garamond" w:hAnsi="Garamond" w:cs="Garamond"/>
        </w:rPr>
        <w:t>Visto il Piano degli interventi del Commissario della Regione Toscana ex art. 1 comma 548 L. 228/2012, e la successiva sesta rimodulazione approvata con ordinanza del Commissario delegato n.22 del 25/05/2015 con il quale veniva stanziato l’importo di € 1.000.000,00 per l’esecuzione dei lavori in oggetto</w:t>
      </w:r>
      <w:r>
        <w:rPr>
          <w:rFonts w:ascii="Garamond" w:hAnsi="Garamond" w:cs="Garamond"/>
        </w:rPr>
        <w:t>;</w:t>
      </w:r>
    </w:p>
    <w:p w:rsidR="00E73677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Decreto n.19 del 23.06.2015 del </w:t>
      </w:r>
      <w:r w:rsidRPr="00E206C7">
        <w:rPr>
          <w:rFonts w:ascii="Garamond" w:hAnsi="Garamond" w:cs="Garamond"/>
        </w:rPr>
        <w:t xml:space="preserve">Direttore Generale </w:t>
      </w:r>
      <w:r>
        <w:rPr>
          <w:rFonts w:ascii="Garamond" w:hAnsi="Garamond" w:cs="Garamond"/>
        </w:rPr>
        <w:t>con il quale si nominava il Responsabile Unico del Procedimento, Progettista e Coordinatore della Sicurezza in fase di Progettazione;</w:t>
      </w:r>
    </w:p>
    <w:p w:rsidR="00E73677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Documento Preliminare alla Progettazione redatto il 24.06.2015 dal Responsabile Unico del Procedimento;</w:t>
      </w:r>
    </w:p>
    <w:p w:rsidR="00E73677" w:rsidRPr="00693FE0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Presidente n. 305 del 24.06.2015 con il quale si approvava il Documento Preliminare alla Progettazione;</w:t>
      </w:r>
    </w:p>
    <w:p w:rsidR="00E73677" w:rsidRDefault="00E73677" w:rsidP="00F2654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Progetto Preliminare </w:t>
      </w:r>
      <w:r w:rsidRPr="00AA586F">
        <w:rPr>
          <w:rFonts w:ascii="Garamond" w:hAnsi="Garamond" w:cs="Garamond"/>
        </w:rPr>
        <w:t xml:space="preserve">denominato </w:t>
      </w:r>
      <w:r w:rsidRPr="00D67833">
        <w:rPr>
          <w:rFonts w:ascii="Garamond" w:hAnsi="Garamond" w:cs="Garamond"/>
        </w:rPr>
        <w:t>“LOTTO N.016 - 2012EGR0258 - LAVORI DI RIPRISTINO DELLE SEZIONI DI DEFLUSSO DEL FIUME ALBEGNA - PROSECUZIONE DEI LAVORI DI RIMOZIONE MACRORINTERRI IN ALVEO (int.36)”</w:t>
      </w:r>
      <w:r>
        <w:rPr>
          <w:rFonts w:ascii="Garamond" w:hAnsi="Garamond" w:cs="Garamond"/>
        </w:rPr>
        <w:t xml:space="preserve"> redatto </w:t>
      </w:r>
      <w:r w:rsidRPr="00AA586F">
        <w:rPr>
          <w:rFonts w:ascii="Garamond" w:hAnsi="Garamond" w:cs="Garamond"/>
        </w:rPr>
        <w:t xml:space="preserve">in data </w:t>
      </w:r>
      <w:r>
        <w:rPr>
          <w:rFonts w:ascii="Garamond" w:hAnsi="Garamond" w:cs="Garamond"/>
        </w:rPr>
        <w:t>25.</w:t>
      </w:r>
      <w:r w:rsidRPr="00AA586F">
        <w:rPr>
          <w:rFonts w:ascii="Garamond" w:hAnsi="Garamond" w:cs="Garamond"/>
        </w:rPr>
        <w:t>06</w:t>
      </w:r>
      <w:r>
        <w:rPr>
          <w:rFonts w:ascii="Garamond" w:hAnsi="Garamond" w:cs="Garamond"/>
        </w:rPr>
        <w:t>.</w:t>
      </w:r>
      <w:r w:rsidRPr="00AA586F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 xml:space="preserve">5 </w:t>
      </w:r>
      <w:r w:rsidRPr="00AA586F">
        <w:rPr>
          <w:rFonts w:ascii="Garamond" w:hAnsi="Garamond" w:cs="Garamond"/>
        </w:rPr>
        <w:t xml:space="preserve">dall’Ufficio Tecnico del Consorzio dell’importo complessivo di Euro </w:t>
      </w:r>
      <w:r>
        <w:rPr>
          <w:rFonts w:ascii="Garamond" w:hAnsi="Garamond" w:cs="Garamond"/>
        </w:rPr>
        <w:t>1.000.000,00 approvato con Decreto del Direttore Generale n. 27 del 25</w:t>
      </w:r>
      <w:r w:rsidRPr="00DA00AC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06</w:t>
      </w:r>
      <w:r w:rsidRPr="00DA00AC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2015</w:t>
      </w:r>
      <w:r w:rsidRPr="00AA586F">
        <w:rPr>
          <w:rFonts w:ascii="Garamond" w:hAnsi="Garamond" w:cs="Garamond"/>
        </w:rPr>
        <w:t>;</w:t>
      </w:r>
    </w:p>
    <w:p w:rsidR="00E73677" w:rsidRPr="00AA586F" w:rsidRDefault="00E73677" w:rsidP="00F2654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A00AC">
        <w:rPr>
          <w:rFonts w:ascii="Garamond" w:hAnsi="Garamond" w:cs="Garamond"/>
        </w:rPr>
        <w:tab/>
        <w:t xml:space="preserve">Visto il Progetto </w:t>
      </w:r>
      <w:r>
        <w:rPr>
          <w:rFonts w:ascii="Garamond" w:hAnsi="Garamond" w:cs="Garamond"/>
        </w:rPr>
        <w:t>Definitivo-Esecutivo</w:t>
      </w:r>
      <w:r w:rsidRPr="00DA00AC">
        <w:rPr>
          <w:rFonts w:ascii="Garamond" w:hAnsi="Garamond" w:cs="Garamond"/>
        </w:rPr>
        <w:t xml:space="preserve"> denominato “LOTTO N.016 - 2012EGR0258 - LAVORI DI RIPRISTINO DELLE SEZIONI DI DEFLUSSO DEL FIUME ALBEGNA - PROSECUZIONE DEI LAVORI DI RIMOZIONE MACRORINTERRI IN ALVEO (int.36)” redatto in data </w:t>
      </w:r>
      <w:r>
        <w:rPr>
          <w:rFonts w:ascii="Garamond" w:hAnsi="Garamond" w:cs="Garamond"/>
        </w:rPr>
        <w:t>26</w:t>
      </w:r>
      <w:r w:rsidRPr="00DA00AC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06</w:t>
      </w:r>
      <w:r w:rsidRPr="00DA00AC">
        <w:rPr>
          <w:rFonts w:ascii="Garamond" w:hAnsi="Garamond" w:cs="Garamond"/>
        </w:rPr>
        <w:t>.2015 dall’Ufficio Tecnico del Consorzio dell’importo complessivo di Euro 1.000.000,00</w:t>
      </w:r>
    </w:p>
    <w:p w:rsidR="00E73677" w:rsidRPr="00AA586F" w:rsidRDefault="00E73677" w:rsidP="00AC6ABE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936DE">
        <w:rPr>
          <w:rFonts w:ascii="Garamond" w:hAnsi="Garamond" w:cs="Garamond"/>
        </w:rPr>
        <w:t xml:space="preserve">Visto il Verbale di Verifica e Validazione del predetto progetto redatta in data </w:t>
      </w:r>
      <w:r>
        <w:rPr>
          <w:rFonts w:ascii="Garamond" w:hAnsi="Garamond" w:cs="Garamond"/>
        </w:rPr>
        <w:t>26</w:t>
      </w:r>
      <w:r w:rsidRPr="00DA00AC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06</w:t>
      </w:r>
      <w:r w:rsidRPr="00DA00AC">
        <w:rPr>
          <w:rFonts w:ascii="Garamond" w:hAnsi="Garamond" w:cs="Garamond"/>
        </w:rPr>
        <w:t xml:space="preserve">.2015 </w:t>
      </w:r>
      <w:r w:rsidRPr="004936DE">
        <w:rPr>
          <w:rFonts w:ascii="Garamond" w:hAnsi="Garamond" w:cs="Garamond"/>
        </w:rPr>
        <w:t xml:space="preserve">ai </w:t>
      </w:r>
      <w:r w:rsidRPr="00AA586F">
        <w:rPr>
          <w:rFonts w:ascii="Garamond" w:hAnsi="Garamond" w:cs="Garamond"/>
        </w:rPr>
        <w:t>sensi e per gli effetti dell’art. 112 del D.lgs. n° 163/2006 e s.m.i. e degli artt. 44 – 59 del D.P.R. 207/2010 e s.m.i.;</w:t>
      </w:r>
    </w:p>
    <w:p w:rsidR="00E73677" w:rsidRPr="00AA586F" w:rsidRDefault="00E73677" w:rsidP="00AC6ABE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Garamond"/>
        </w:rPr>
        <w:tab/>
        <w:t>Vista l’urgenza e l’indifferibilità con la quale gli interventi devono essere realizzati al fine di ripristinare l’officiosità idraulica del fiume Albegna, gravemente compromessa dagli eventi alluvionali, e in considerazione del fatto che le lavorazioni dovranno essere concluse prima della stagione invernale futura</w:t>
      </w:r>
      <w:r w:rsidRPr="00AA586F">
        <w:rPr>
          <w:rFonts w:ascii="Garamond" w:hAnsi="Garamond" w:cs="Garamond"/>
        </w:rPr>
        <w:t>;</w:t>
      </w:r>
    </w:p>
    <w:p w:rsidR="00E73677" w:rsidRPr="00AA586F" w:rsidRDefault="00E73677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A586F">
        <w:rPr>
          <w:rFonts w:ascii="Garamond" w:hAnsi="Garamond" w:cs="Garamond"/>
        </w:rPr>
        <w:t>Viste le vigenti disposizioni di cui al D.lgs. 163/2006 e del D.P.R. n° 207/2011 in materia di lavori pubblici e s.m.i;</w:t>
      </w:r>
    </w:p>
    <w:p w:rsidR="00E73677" w:rsidRPr="00E206C7" w:rsidRDefault="00E73677" w:rsidP="00F2654D">
      <w:pPr>
        <w:ind w:left="561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i/>
          <w:iCs/>
        </w:rPr>
        <w:t>D E C R E T A</w:t>
      </w:r>
    </w:p>
    <w:p w:rsidR="00E73677" w:rsidRDefault="00E73677" w:rsidP="00F2654D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Garamond"/>
          <w:spacing w:val="10"/>
          <w:sz w:val="22"/>
          <w:szCs w:val="22"/>
        </w:rPr>
      </w:pPr>
      <w:r w:rsidRPr="00744FF5"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 xml:space="preserve">di approvare il Progetto </w:t>
      </w:r>
      <w:r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>Definitivo-Esecutivo denominato</w:t>
      </w:r>
      <w:r w:rsidRPr="00583528"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 xml:space="preserve"> “LOTTO N.016 - 2012EGR0258 - LAVORI DI RIPRISTINO DELLE SEZIONI DI DEFLUSSO DEL FIUME ALBEGNA - PROSECUZIONE DEI LAVORI DI RIMOZIONE MACRORINTERRI IN ALVEO (int.36)” redatto in data 2</w:t>
      </w:r>
      <w:r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>6</w:t>
      </w:r>
      <w:r w:rsidRPr="00583528"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>.06.2015 dall’Ufficio Tecnico del Consorzio dell’importo complessivo di Euro 1.000.000,00</w:t>
      </w:r>
      <w:r w:rsidRPr="00744FF5">
        <w:rPr>
          <w:rStyle w:val="Emphasis"/>
          <w:rFonts w:ascii="Garamond" w:hAnsi="Garamond" w:cs="Garamond"/>
          <w:i w:val="0"/>
          <w:iCs w:val="0"/>
          <w:spacing w:val="10"/>
          <w:sz w:val="22"/>
          <w:szCs w:val="22"/>
        </w:rPr>
        <w:t>, costituito dai seguenti elaborati</w:t>
      </w:r>
      <w:r>
        <w:rPr>
          <w:rFonts w:ascii="Garamond" w:hAnsi="Garamond" w:cs="Garamond"/>
          <w:spacing w:val="10"/>
          <w:sz w:val="22"/>
          <w:szCs w:val="22"/>
        </w:rPr>
        <w:t>: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A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RELAZIONE GENERALE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ELABORATI GRAFICI: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C.1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Corografia - 1:50.000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C.2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Planimetria - 1:10.000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C.3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1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C.4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2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C.5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3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C.6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4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C.7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5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C.8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spaltonato 6 di 6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C.9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Sezioni di scavo tratto arginato 1 di 1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C.10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Layout di cantiere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C.11 -</w:t>
      </w:r>
      <w:r w:rsidRPr="00435B9C">
        <w:rPr>
          <w:rStyle w:val="Emphasis"/>
          <w:sz w:val="18"/>
          <w:szCs w:val="18"/>
        </w:rPr>
        <w:tab/>
        <w:t>Documentazione fotografica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1134" w:hanging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E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PIANO DI MANUTENZIONE DELL'OPERA E DELLE SUE PARTI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F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PIANO DI SICUREZZA E DI COORDINAMENTO: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F.1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Analisi e valutazione dei rischi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F.2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Quadro di incidenza quantità della manodopera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F.3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Stima incidenza sicurezza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F.4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Fascicolo con caratteristiche dell'opera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G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COMPUTO METRICO ESTIMATIVO E QUADRO ECONOMICO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H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CRONOPROGRAMMA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>I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ELENCO PREZZI</w:t>
      </w:r>
    </w:p>
    <w:p w:rsidR="00E73677" w:rsidRPr="00435B9C" w:rsidRDefault="00E73677" w:rsidP="00F2654D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  <w:r w:rsidRPr="00435B9C">
        <w:rPr>
          <w:rStyle w:val="Emphasis"/>
          <w:sz w:val="18"/>
          <w:szCs w:val="18"/>
        </w:rPr>
        <w:t xml:space="preserve">I.1 </w:t>
      </w:r>
      <w:r w:rsidRPr="00435B9C">
        <w:rPr>
          <w:rStyle w:val="Emphasis"/>
          <w:sz w:val="18"/>
          <w:szCs w:val="18"/>
        </w:rPr>
        <w:tab/>
        <w:t>-</w:t>
      </w:r>
      <w:r w:rsidRPr="00435B9C">
        <w:rPr>
          <w:rStyle w:val="Emphasis"/>
          <w:sz w:val="18"/>
          <w:szCs w:val="18"/>
        </w:rPr>
        <w:tab/>
        <w:t>Analisi dei prezzi</w:t>
      </w:r>
    </w:p>
    <w:p w:rsidR="00E73677" w:rsidRPr="00435B9C" w:rsidRDefault="00E73677" w:rsidP="00F2654D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Style w:val="Emphasis"/>
          <w:rFonts w:ascii="Times New Roman" w:hAnsi="Times New Roman" w:cs="Times New Roman"/>
          <w:sz w:val="18"/>
          <w:szCs w:val="18"/>
          <w:lang w:eastAsia="ar-SA"/>
        </w:rPr>
      </w:pPr>
      <w:r w:rsidRPr="00435B9C">
        <w:rPr>
          <w:rStyle w:val="Emphasis"/>
          <w:rFonts w:ascii="Times New Roman" w:hAnsi="Times New Roman" w:cs="Times New Roman"/>
          <w:sz w:val="18"/>
          <w:szCs w:val="18"/>
          <w:lang w:eastAsia="ar-SA"/>
        </w:rPr>
        <w:t>L</w:t>
      </w:r>
      <w:r w:rsidRPr="00435B9C">
        <w:rPr>
          <w:rStyle w:val="Emphasis"/>
          <w:rFonts w:ascii="Times New Roman" w:hAnsi="Times New Roman" w:cs="Times New Roman"/>
          <w:sz w:val="18"/>
          <w:szCs w:val="18"/>
          <w:lang w:eastAsia="ar-SA"/>
        </w:rPr>
        <w:tab/>
        <w:t>- SCHEMA DI CONTRATTO E CAPITOLATO SPECIALE D'APPALTO</w:t>
      </w:r>
    </w:p>
    <w:p w:rsidR="00E73677" w:rsidRPr="00435B9C" w:rsidRDefault="00E73677" w:rsidP="00F2654D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>-</w:t>
      </w: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ab/>
      </w:r>
      <w:r w:rsidRPr="00D23D90">
        <w:rPr>
          <w:rFonts w:ascii="Garamond" w:hAnsi="Garamond" w:cs="Garamond"/>
        </w:rPr>
        <w:t>di pubblicare il presente Decreto sul sito internet del Consorzio.</w:t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E206C7">
        <w:rPr>
          <w:rFonts w:ascii="Garamond" w:hAnsi="Garamond" w:cs="Garamond"/>
        </w:rPr>
        <w:tab/>
      </w:r>
    </w:p>
    <w:p w:rsidR="00E73677" w:rsidRPr="00E206C7" w:rsidRDefault="00E73677" w:rsidP="00F2654D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IL DIRETTORE GENERALE</w:t>
      </w:r>
    </w:p>
    <w:p w:rsidR="00E73677" w:rsidRDefault="00E73677" w:rsidP="00C95326">
      <w:pPr>
        <w:pStyle w:val="BodyText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E73677" w:rsidRDefault="00E73677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E73677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77" w:rsidRDefault="00E73677" w:rsidP="00372E6B">
      <w:pPr>
        <w:spacing w:after="0" w:line="240" w:lineRule="auto"/>
      </w:pPr>
      <w:r>
        <w:separator/>
      </w:r>
    </w:p>
  </w:endnote>
  <w:endnote w:type="continuationSeparator" w:id="0">
    <w:p w:rsidR="00E73677" w:rsidRDefault="00E7367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77" w:rsidRDefault="00E73677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E73677" w:rsidRDefault="00E73677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497796211" r:id="rId2"/>
      </w:object>
    </w:r>
  </w:p>
  <w:p w:rsidR="00E73677" w:rsidRPr="00372E6B" w:rsidRDefault="00E73677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77" w:rsidRDefault="00E73677" w:rsidP="00372E6B">
      <w:pPr>
        <w:spacing w:after="0" w:line="240" w:lineRule="auto"/>
      </w:pPr>
      <w:r>
        <w:separator/>
      </w:r>
    </w:p>
  </w:footnote>
  <w:footnote w:type="continuationSeparator" w:id="0">
    <w:p w:rsidR="00E73677" w:rsidRDefault="00E7367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30B11"/>
    <w:rsid w:val="00057EF5"/>
    <w:rsid w:val="00061822"/>
    <w:rsid w:val="00081D1C"/>
    <w:rsid w:val="00094B7B"/>
    <w:rsid w:val="0009647A"/>
    <w:rsid w:val="000A1E76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F07AB"/>
    <w:rsid w:val="004075F8"/>
    <w:rsid w:val="00431968"/>
    <w:rsid w:val="00435B9C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83528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67BD8"/>
    <w:rsid w:val="00693FE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29B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C5A36"/>
    <w:rsid w:val="00AC6ABE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D90"/>
    <w:rsid w:val="00D24A90"/>
    <w:rsid w:val="00D324C6"/>
    <w:rsid w:val="00D3390A"/>
    <w:rsid w:val="00D33F1D"/>
    <w:rsid w:val="00D41B76"/>
    <w:rsid w:val="00D67833"/>
    <w:rsid w:val="00D7466F"/>
    <w:rsid w:val="00D84D7D"/>
    <w:rsid w:val="00D95B46"/>
    <w:rsid w:val="00DA00AC"/>
    <w:rsid w:val="00DA15F9"/>
    <w:rsid w:val="00DB05CC"/>
    <w:rsid w:val="00DB2201"/>
    <w:rsid w:val="00DB7C84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3677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05822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37D3"/>
    <w:rsid w:val="00F8029E"/>
    <w:rsid w:val="00F914F8"/>
    <w:rsid w:val="00FA2469"/>
    <w:rsid w:val="00FA2FFF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941</Words>
  <Characters>5365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7</cp:revision>
  <cp:lastPrinted>2015-07-07T15:43:00Z</cp:lastPrinted>
  <dcterms:created xsi:type="dcterms:W3CDTF">2015-06-29T08:23:00Z</dcterms:created>
  <dcterms:modified xsi:type="dcterms:W3CDTF">2015-07-07T15:44:00Z</dcterms:modified>
</cp:coreProperties>
</file>