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Corpodeltesto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6A195E" w:rsidRDefault="006A195E" w:rsidP="006A195E">
      <w:pPr>
        <w:pStyle w:val="Corpodeltesto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Corpodeltesto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</w:t>
      </w:r>
      <w:r w:rsidR="00F60076">
        <w:rPr>
          <w:rFonts w:ascii="Garamond" w:hAnsi="Garamond" w:cs="Garamond"/>
          <w:b/>
          <w:bCs/>
          <w:sz w:val="32"/>
          <w:szCs w:val="26"/>
          <w:u w:val="double"/>
        </w:rPr>
        <w:t>50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Data Adozione  </w:t>
      </w:r>
      <w:r w:rsidR="00F60076">
        <w:rPr>
          <w:rFonts w:ascii="Garamond" w:hAnsi="Garamond" w:cs="Garamond"/>
          <w:b/>
          <w:bCs/>
          <w:sz w:val="32"/>
          <w:szCs w:val="26"/>
          <w:u w:val="double"/>
        </w:rPr>
        <w:t>03/08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/2015      </w:t>
      </w:r>
    </w:p>
    <w:p w:rsidR="006A195E" w:rsidRDefault="006A195E" w:rsidP="006A195E">
      <w:pPr>
        <w:pStyle w:val="Corpodeltesto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A195E" w:rsidRDefault="006A195E" w:rsidP="006A195E">
      <w:pPr>
        <w:pStyle w:val="Corpodeltesto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D6072" w:rsidRPr="00AD6072" w:rsidRDefault="006A195E" w:rsidP="00AD6072">
      <w:pPr>
        <w:pStyle w:val="Corpodeltesto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OGGETTO: </w:t>
      </w:r>
      <w:r w:rsidR="00AD6072">
        <w:rPr>
          <w:rFonts w:ascii="Garamond" w:hAnsi="Garamond" w:cs="Garamond"/>
          <w:b/>
          <w:bCs/>
          <w:sz w:val="26"/>
          <w:szCs w:val="26"/>
        </w:rPr>
        <w:t xml:space="preserve">Affidamento alla Società Capacitas S.r.l. della conversione e unificazione della base dati catastali delle ex Unioni dei Comuni Amiata Val d'Orcia, Val di Merse e Colline del Fiora per l'importo di € 14.000,00 iva esclusa. </w:t>
      </w:r>
    </w:p>
    <w:p w:rsidR="00AD6072" w:rsidRPr="00AD6072" w:rsidRDefault="00AD6072" w:rsidP="00AD6072">
      <w:pPr>
        <w:tabs>
          <w:tab w:val="left" w:pos="284"/>
        </w:tabs>
        <w:suppressAutoHyphens/>
        <w:spacing w:after="0" w:line="300" w:lineRule="exact"/>
        <w:ind w:left="538" w:right="-45"/>
        <w:jc w:val="both"/>
        <w:rPr>
          <w:rFonts w:ascii="Garamond" w:eastAsia="Times New Roman" w:hAnsi="Garamond" w:cs="Garamond"/>
          <w:b/>
          <w:bCs/>
          <w:kern w:val="1"/>
          <w:sz w:val="26"/>
          <w:szCs w:val="26"/>
          <w:lang w:eastAsia="hi-IN" w:bidi="hi-IN"/>
        </w:rPr>
      </w:pPr>
    </w:p>
    <w:p w:rsidR="006A195E" w:rsidRDefault="006A195E" w:rsidP="006A195E">
      <w:pPr>
        <w:pStyle w:val="Corpodeltesto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A195E" w:rsidRDefault="006A195E" w:rsidP="006A195E">
      <w:pPr>
        <w:pStyle w:val="Corpodeltesto21"/>
        <w:spacing w:line="360" w:lineRule="auto"/>
        <w:jc w:val="both"/>
        <w:rPr>
          <w:rFonts w:ascii="Garamond" w:hAnsi="Garamond" w:cs="Garamond"/>
          <w:b/>
          <w:spacing w:val="10"/>
          <w:sz w:val="24"/>
        </w:rPr>
      </w:pPr>
    </w:p>
    <w:p w:rsidR="006A195E" w:rsidRDefault="006A195E" w:rsidP="006A195E">
      <w:pPr>
        <w:pStyle w:val="Corpodeltesto21"/>
        <w:spacing w:line="360" w:lineRule="auto"/>
        <w:rPr>
          <w:rFonts w:ascii="Garamond" w:hAnsi="Garamond" w:cs="Garamond"/>
          <w:b/>
          <w:bCs/>
          <w:sz w:val="36"/>
          <w:szCs w:val="26"/>
          <w:u w:val="double"/>
        </w:rPr>
      </w:pPr>
    </w:p>
    <w:p w:rsidR="006A195E" w:rsidRDefault="006A195E" w:rsidP="006A195E">
      <w:pPr>
        <w:pStyle w:val="Corpodeltesto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Corpodeltesto21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Corpodeltesto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A195E" w:rsidRDefault="006A195E" w:rsidP="006A195E">
      <w:pPr>
        <w:pStyle w:val="Corpodeltesto21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A195E" w:rsidRDefault="006A195E" w:rsidP="006A195E">
      <w:pPr>
        <w:pStyle w:val="Corpodeltesto21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6A195E" w:rsidRDefault="006A195E" w:rsidP="006A195E">
      <w:pPr>
        <w:spacing w:line="240" w:lineRule="auto"/>
      </w:pPr>
    </w:p>
    <w:p w:rsidR="006A195E" w:rsidRDefault="006A195E" w:rsidP="006A195E">
      <w:pPr>
        <w:spacing w:line="240" w:lineRule="auto"/>
        <w:rPr>
          <w:rFonts w:ascii="Garamond" w:hAnsi="Garamond" w:cs="Garamond"/>
          <w:b/>
          <w:bCs/>
          <w:u w:val="double"/>
        </w:rPr>
      </w:pPr>
      <w:r>
        <w:t xml:space="preserve">               </w:t>
      </w: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6A195E" w:rsidRDefault="006A195E" w:rsidP="006A195E">
      <w:pPr>
        <w:pStyle w:val="Corpodeltesto21"/>
        <w:ind w:left="284" w:hanging="283"/>
        <w:jc w:val="center"/>
      </w:pPr>
    </w:p>
    <w:p w:rsidR="006A195E" w:rsidRDefault="006A195E" w:rsidP="006A195E">
      <w:pPr>
        <w:pStyle w:val="Corpodeltesto21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6A195E" w:rsidRDefault="006A195E" w:rsidP="006A195E">
      <w:pPr>
        <w:pStyle w:val="Corpodeltesto21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6A195E" w:rsidRDefault="006A195E" w:rsidP="006A195E">
      <w:pPr>
        <w:pStyle w:val="Corpodeltesto21"/>
        <w:ind w:left="284" w:hanging="283"/>
        <w:jc w:val="center"/>
        <w:rPr>
          <w:rFonts w:ascii="Garamond" w:hAnsi="Garamond" w:cs="Garamond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DECRETO DIRETTORE GENERALE N. </w:t>
      </w:r>
      <w:r w:rsidR="00F60076">
        <w:rPr>
          <w:rFonts w:ascii="Garamond" w:hAnsi="Garamond" w:cs="Garamond"/>
          <w:b/>
          <w:bCs/>
          <w:sz w:val="26"/>
          <w:szCs w:val="26"/>
          <w:u w:val="double"/>
        </w:rPr>
        <w:t>50</w:t>
      </w:r>
      <w:r w:rsidR="00AD6072">
        <w:rPr>
          <w:rFonts w:ascii="Garamond" w:hAnsi="Garamond" w:cs="Garamond"/>
          <w:b/>
          <w:bCs/>
          <w:sz w:val="26"/>
          <w:szCs w:val="26"/>
          <w:u w:val="double"/>
        </w:rPr>
        <w:t xml:space="preserve">  DEL </w:t>
      </w:r>
      <w:r w:rsidR="00F60076">
        <w:rPr>
          <w:rFonts w:ascii="Garamond" w:hAnsi="Garamond" w:cs="Garamond"/>
          <w:b/>
          <w:bCs/>
          <w:sz w:val="26"/>
          <w:szCs w:val="26"/>
          <w:u w:val="double"/>
        </w:rPr>
        <w:t>03 AGOSTO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 2015</w:t>
      </w:r>
    </w:p>
    <w:p w:rsidR="006A195E" w:rsidRDefault="006A195E" w:rsidP="006A195E">
      <w:p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</w:rPr>
        <w:t xml:space="preserve">L’anno duemilaquindici il giorno </w:t>
      </w:r>
      <w:r w:rsidR="00F60076">
        <w:rPr>
          <w:rFonts w:ascii="Garamond" w:hAnsi="Garamond" w:cs="Garamond"/>
        </w:rPr>
        <w:t>03</w:t>
      </w:r>
      <w:r>
        <w:rPr>
          <w:rFonts w:ascii="Garamond" w:hAnsi="Garamond" w:cs="Garamond"/>
        </w:rPr>
        <w:t xml:space="preserve"> del mese di </w:t>
      </w:r>
      <w:r w:rsidR="00F60076">
        <w:rPr>
          <w:rFonts w:ascii="Garamond" w:hAnsi="Garamond" w:cs="Garamond"/>
        </w:rPr>
        <w:t>Agosto</w:t>
      </w:r>
      <w:r>
        <w:rPr>
          <w:rFonts w:ascii="Garamond" w:hAnsi="Garamond" w:cs="Garamond"/>
        </w:rPr>
        <w:t xml:space="preserve"> alle ore 11.00 presso la sede del Consorzio in Grosseto, viale Ximenes n. 3</w:t>
      </w:r>
    </w:p>
    <w:p w:rsidR="006A195E" w:rsidRDefault="006A195E" w:rsidP="006A195E">
      <w:pPr>
        <w:spacing w:line="360" w:lineRule="auto"/>
        <w:ind w:left="284" w:hanging="283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IL DIRETTORE GENERALE</w:t>
      </w:r>
    </w:p>
    <w:p w:rsidR="006A195E" w:rsidRDefault="006A195E" w:rsidP="006A195E">
      <w:pPr>
        <w:numPr>
          <w:ilvl w:val="0"/>
          <w:numId w:val="3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Vista la Legge Regionale n. 79 del 27.12.2012;</w:t>
      </w:r>
    </w:p>
    <w:p w:rsidR="006A195E" w:rsidRDefault="006A195E" w:rsidP="006A195E">
      <w:pPr>
        <w:numPr>
          <w:ilvl w:val="0"/>
          <w:numId w:val="3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Visto il Decreto del Presidente n. 223 del 22 Gennaio 2015 con il quale è stato assunto l’Arch. Fabio Zappalorti con  la qualifica di Direttore Generale del Consorzio 6 Toscana Sud a far data dal 01 Febbraio 2015; </w:t>
      </w:r>
    </w:p>
    <w:p w:rsidR="006A195E" w:rsidRDefault="006A195E" w:rsidP="006A195E">
      <w:pPr>
        <w:numPr>
          <w:ilvl w:val="0"/>
          <w:numId w:val="3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vigente Statuto Consortile approvato con delibera n. 6 dell’Assemblea consortile seduta  n. </w:t>
      </w:r>
      <w:bookmarkStart w:id="0" w:name="_GoBack"/>
      <w:bookmarkEnd w:id="0"/>
      <w:r>
        <w:rPr>
          <w:rFonts w:ascii="Garamond" w:hAnsi="Garamond" w:cs="Garamond"/>
        </w:rPr>
        <w:t xml:space="preserve">2 del 29/04/2015 e pubblicato sul B.U.R.T Parte Seconda n. 20 del 20/05/2015 Supplemento n. 78;  </w:t>
      </w:r>
    </w:p>
    <w:p w:rsidR="006A195E" w:rsidRDefault="006A195E" w:rsidP="006A195E">
      <w:pPr>
        <w:numPr>
          <w:ilvl w:val="0"/>
          <w:numId w:val="3"/>
        </w:numPr>
        <w:tabs>
          <w:tab w:val="left" w:pos="27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in particolare l’Art. 39 comma 1 lettera </w:t>
      </w:r>
      <w:r w:rsidR="00B44AE9">
        <w:rPr>
          <w:rFonts w:ascii="Garamond" w:hAnsi="Garamond" w:cs="Garamond"/>
        </w:rPr>
        <w:t>b</w:t>
      </w:r>
      <w:r>
        <w:rPr>
          <w:rFonts w:ascii="Garamond" w:hAnsi="Garamond" w:cs="Garamond"/>
        </w:rPr>
        <w:t>) del Vigente Statuto;</w:t>
      </w:r>
    </w:p>
    <w:p w:rsidR="00AD6072" w:rsidRDefault="00AD6072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Viste le Convenzioni stipulate con le Unioni dei Comuni a norma dell'art. 23 della L.R. 79/2012, relative all'anno 2014;</w:t>
      </w:r>
    </w:p>
    <w:p w:rsidR="00AD6072" w:rsidRDefault="00AD6072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Considerato che il Consorzio deve emettere i ruoli di contribuenza nei territori delle Unioni dei Comuni: Amiata Val d'Orcia, Val di Merse, Colline del Fiora e Amiata Grossetana;</w:t>
      </w:r>
    </w:p>
    <w:p w:rsidR="00AD6072" w:rsidRDefault="00AD6072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Considerato che nel territorio dell'Unione dei Comuni Montani Amiata Grossetana l'emissione e la gestione dei ruoli della contribuenza è stata effettuata dall'Unione dei Comuni delle Colline del Fiora e dell'Amiata Val d'Orcia, regolamentata da apposita convenzione;</w:t>
      </w:r>
    </w:p>
    <w:p w:rsidR="0038568A" w:rsidRDefault="00AD6072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Considerato che il Consorzio per emettere i ruoli di contribuenza deve acquisire, elaborare, unificare e fondere la base dati c</w:t>
      </w:r>
      <w:r w:rsidR="0041188D">
        <w:rPr>
          <w:rFonts w:ascii="Garamond" w:hAnsi="Garamond" w:cs="Garamond"/>
          <w:sz w:val="22"/>
          <w:szCs w:val="22"/>
        </w:rPr>
        <w:t xml:space="preserve">atastali </w:t>
      </w:r>
      <w:r>
        <w:rPr>
          <w:rFonts w:ascii="Garamond" w:hAnsi="Garamond" w:cs="Garamond"/>
          <w:sz w:val="22"/>
          <w:szCs w:val="22"/>
        </w:rPr>
        <w:t xml:space="preserve">delle </w:t>
      </w:r>
      <w:r w:rsidR="0038568A">
        <w:rPr>
          <w:rFonts w:ascii="Garamond" w:hAnsi="Garamond" w:cs="Garamond"/>
          <w:sz w:val="22"/>
          <w:szCs w:val="22"/>
        </w:rPr>
        <w:t>Unioni dei Comuni della Val d'Orcia, della Val di Merse</w:t>
      </w:r>
      <w:r w:rsidR="0041188D">
        <w:rPr>
          <w:rFonts w:ascii="Garamond" w:hAnsi="Garamond" w:cs="Garamond"/>
          <w:sz w:val="22"/>
          <w:szCs w:val="22"/>
        </w:rPr>
        <w:t>,</w:t>
      </w:r>
      <w:r w:rsidR="0038568A">
        <w:rPr>
          <w:rFonts w:ascii="Garamond" w:hAnsi="Garamond" w:cs="Garamond"/>
          <w:sz w:val="22"/>
          <w:szCs w:val="22"/>
        </w:rPr>
        <w:t xml:space="preserve"> delle Colline del Fiora</w:t>
      </w:r>
      <w:r w:rsidR="0041188D">
        <w:rPr>
          <w:rFonts w:ascii="Garamond" w:hAnsi="Garamond" w:cs="Garamond"/>
          <w:sz w:val="22"/>
          <w:szCs w:val="22"/>
        </w:rPr>
        <w:t xml:space="preserve"> e dell'Amiata Grossetana</w:t>
      </w:r>
      <w:r w:rsidR="0038568A">
        <w:rPr>
          <w:rFonts w:ascii="Garamond" w:hAnsi="Garamond" w:cs="Garamond"/>
          <w:sz w:val="22"/>
          <w:szCs w:val="22"/>
        </w:rPr>
        <w:t>;</w:t>
      </w:r>
    </w:p>
    <w:p w:rsidR="0038568A" w:rsidRDefault="0038568A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Considerato che il Consorzio per l'elaborazione ed emissione dei ruoli di contribuenza per gli anni 2014 e 2015 </w:t>
      </w:r>
      <w:r w:rsidR="0041188D">
        <w:rPr>
          <w:rFonts w:ascii="Garamond" w:hAnsi="Garamond" w:cs="Garamond"/>
          <w:sz w:val="22"/>
          <w:szCs w:val="22"/>
        </w:rPr>
        <w:t>h</w:t>
      </w:r>
      <w:r>
        <w:rPr>
          <w:rFonts w:ascii="Garamond" w:hAnsi="Garamond" w:cs="Garamond"/>
          <w:sz w:val="22"/>
          <w:szCs w:val="22"/>
        </w:rPr>
        <w:t xml:space="preserve">a affidato la gestione degli stessi alla Società Capacitas S.r.l., con sede in San </w:t>
      </w:r>
      <w:proofErr w:type="spellStart"/>
      <w:r>
        <w:rPr>
          <w:rFonts w:ascii="Garamond" w:hAnsi="Garamond" w:cs="Garamond"/>
          <w:sz w:val="22"/>
          <w:szCs w:val="22"/>
        </w:rPr>
        <w:t>Donà</w:t>
      </w:r>
      <w:proofErr w:type="spellEnd"/>
      <w:r>
        <w:rPr>
          <w:rFonts w:ascii="Garamond" w:hAnsi="Garamond" w:cs="Garamond"/>
          <w:sz w:val="22"/>
          <w:szCs w:val="22"/>
        </w:rPr>
        <w:t xml:space="preserve"> di Piave (VE), Via Monte Popera 4/21, Partita Iva 03309000275;</w:t>
      </w:r>
    </w:p>
    <w:p w:rsidR="0038568A" w:rsidRDefault="0038568A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Considerato che la Società Capacitas S.r.l. ha sviluppato un piano di lavoro </w:t>
      </w:r>
      <w:r w:rsidR="00B36569">
        <w:rPr>
          <w:rFonts w:ascii="Garamond" w:hAnsi="Garamond" w:cs="Garamond"/>
          <w:sz w:val="22"/>
          <w:szCs w:val="22"/>
        </w:rPr>
        <w:t>presentato al Consorzio in data 17/06/2015 con il quale si potr</w:t>
      </w:r>
      <w:r w:rsidR="00F60076">
        <w:rPr>
          <w:rFonts w:ascii="Garamond" w:hAnsi="Garamond" w:cs="Garamond"/>
          <w:sz w:val="22"/>
          <w:szCs w:val="22"/>
        </w:rPr>
        <w:t>anno</w:t>
      </w:r>
      <w:r w:rsidR="00B36569">
        <w:rPr>
          <w:rFonts w:ascii="Garamond" w:hAnsi="Garamond" w:cs="Garamond"/>
          <w:sz w:val="22"/>
          <w:szCs w:val="22"/>
        </w:rPr>
        <w:t xml:space="preserve"> unificare le </w:t>
      </w:r>
      <w:r w:rsidR="00F60076">
        <w:rPr>
          <w:rFonts w:ascii="Garamond" w:hAnsi="Garamond" w:cs="Garamond"/>
          <w:sz w:val="22"/>
          <w:szCs w:val="22"/>
        </w:rPr>
        <w:t>b</w:t>
      </w:r>
      <w:r w:rsidR="00B36569">
        <w:rPr>
          <w:rFonts w:ascii="Garamond" w:hAnsi="Garamond" w:cs="Garamond"/>
          <w:sz w:val="22"/>
          <w:szCs w:val="22"/>
        </w:rPr>
        <w:t>asi dati catastali con il programma gestionale dei ruoli del Consorzio;</w:t>
      </w:r>
    </w:p>
    <w:p w:rsidR="0038568A" w:rsidRDefault="0038568A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Visto che le competenze specifiche e qualificate della Società Capacitas S.r.l. risultano essere necessarie ed indispensabili per assicurare sia la continuità del servizio di formazione del ruolo che </w:t>
      </w:r>
      <w:r w:rsidR="00F60076">
        <w:rPr>
          <w:rFonts w:ascii="Garamond" w:hAnsi="Garamond" w:cs="Garamond"/>
          <w:sz w:val="22"/>
          <w:szCs w:val="22"/>
        </w:rPr>
        <w:t>l'</w:t>
      </w:r>
      <w:r>
        <w:rPr>
          <w:rFonts w:ascii="Garamond" w:hAnsi="Garamond" w:cs="Garamond"/>
          <w:sz w:val="22"/>
          <w:szCs w:val="22"/>
        </w:rPr>
        <w:t>unifica</w:t>
      </w:r>
      <w:r w:rsidR="00F60076">
        <w:rPr>
          <w:rFonts w:ascii="Garamond" w:hAnsi="Garamond" w:cs="Garamond"/>
          <w:sz w:val="22"/>
          <w:szCs w:val="22"/>
        </w:rPr>
        <w:t>zione del</w:t>
      </w:r>
      <w:r>
        <w:rPr>
          <w:rFonts w:ascii="Garamond" w:hAnsi="Garamond" w:cs="Garamond"/>
          <w:sz w:val="22"/>
          <w:szCs w:val="22"/>
        </w:rPr>
        <w:t xml:space="preserve"> meccanismo di incasso della contribuenza</w:t>
      </w:r>
      <w:r w:rsidR="00F60076">
        <w:rPr>
          <w:rFonts w:ascii="Garamond" w:hAnsi="Garamond" w:cs="Garamond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t xml:space="preserve"> necessari allo svolgimento dei compiti istituzionali del Consorzio 6 Toscana Sud;</w:t>
      </w:r>
    </w:p>
    <w:p w:rsidR="0038568A" w:rsidRDefault="0038568A" w:rsidP="006A195E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Visto il bilancio consuntivo residui anno 2014;</w:t>
      </w:r>
    </w:p>
    <w:p w:rsidR="00B36569" w:rsidRDefault="00B36569" w:rsidP="00B36569">
      <w:pPr>
        <w:pStyle w:val="Paragrafoelenco1"/>
        <w:tabs>
          <w:tab w:val="left" w:pos="270"/>
        </w:tabs>
        <w:spacing w:line="360" w:lineRule="auto"/>
        <w:ind w:left="284"/>
        <w:jc w:val="both"/>
        <w:rPr>
          <w:rFonts w:ascii="Garamond" w:hAnsi="Garamond" w:cs="Garamond"/>
          <w:sz w:val="22"/>
          <w:szCs w:val="22"/>
        </w:rPr>
      </w:pPr>
    </w:p>
    <w:p w:rsidR="006A195E" w:rsidRDefault="006A195E" w:rsidP="006A195E">
      <w:pPr>
        <w:tabs>
          <w:tab w:val="left" w:pos="2472"/>
        </w:tabs>
        <w:spacing w:line="300" w:lineRule="exact"/>
        <w:jc w:val="center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D E C R E T A</w:t>
      </w:r>
    </w:p>
    <w:p w:rsidR="0038568A" w:rsidRDefault="0038568A" w:rsidP="0038568A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 w:rsidRPr="0038568A">
        <w:rPr>
          <w:rFonts w:ascii="Garamond" w:hAnsi="Garamond" w:cs="Garamond"/>
          <w:sz w:val="22"/>
          <w:szCs w:val="22"/>
        </w:rPr>
        <w:t xml:space="preserve">di affidare, ai sensi dell'art. 125 del </w:t>
      </w:r>
      <w:proofErr w:type="spellStart"/>
      <w:r w:rsidRPr="0038568A">
        <w:rPr>
          <w:rFonts w:ascii="Garamond" w:hAnsi="Garamond" w:cs="Garamond"/>
          <w:sz w:val="22"/>
          <w:szCs w:val="22"/>
        </w:rPr>
        <w:t>D.Lgs</w:t>
      </w:r>
      <w:proofErr w:type="spellEnd"/>
      <w:r w:rsidRPr="0038568A">
        <w:rPr>
          <w:rFonts w:ascii="Garamond" w:hAnsi="Garamond" w:cs="Garamond"/>
          <w:sz w:val="22"/>
          <w:szCs w:val="22"/>
        </w:rPr>
        <w:t xml:space="preserve"> 163/2006 e </w:t>
      </w:r>
      <w:proofErr w:type="spellStart"/>
      <w:r w:rsidRPr="0038568A">
        <w:rPr>
          <w:rFonts w:ascii="Garamond" w:hAnsi="Garamond" w:cs="Garamond"/>
          <w:sz w:val="22"/>
          <w:szCs w:val="22"/>
        </w:rPr>
        <w:t>s.m.i.</w:t>
      </w:r>
      <w:proofErr w:type="spellEnd"/>
      <w:r w:rsidRPr="0038568A">
        <w:rPr>
          <w:rFonts w:ascii="Garamond" w:hAnsi="Garamond" w:cs="Garamond"/>
          <w:sz w:val="22"/>
          <w:szCs w:val="22"/>
        </w:rPr>
        <w:t xml:space="preserve">, per le motivazioni espresse in premessa che costituisce parte integrante e sostanziale del presente atto, alla Società Capacitas S.r.l., con sede in San </w:t>
      </w:r>
      <w:proofErr w:type="spellStart"/>
      <w:r w:rsidRPr="0038568A">
        <w:rPr>
          <w:rFonts w:ascii="Garamond" w:hAnsi="Garamond" w:cs="Garamond"/>
          <w:sz w:val="22"/>
          <w:szCs w:val="22"/>
        </w:rPr>
        <w:t>Donà</w:t>
      </w:r>
      <w:proofErr w:type="spellEnd"/>
      <w:r w:rsidRPr="0038568A">
        <w:rPr>
          <w:rFonts w:ascii="Garamond" w:hAnsi="Garamond" w:cs="Garamond"/>
          <w:sz w:val="22"/>
          <w:szCs w:val="22"/>
        </w:rPr>
        <w:t xml:space="preserve"> di Piave (VE), Via Monte Popera 4/21. Partita Iva 03309000275, la conversione e unificazione della base dati catastale delle Unioni dei Comuni Amiata Val d'Orcia, Val di Merse e Colline del Fiora</w:t>
      </w:r>
      <w:r>
        <w:rPr>
          <w:rFonts w:ascii="Garamond" w:hAnsi="Garamond" w:cs="Garamond"/>
          <w:sz w:val="22"/>
          <w:szCs w:val="22"/>
        </w:rPr>
        <w:t xml:space="preserve"> per l'importo di € 14.000,00 iva esclusa</w:t>
      </w:r>
      <w:r w:rsidR="00B36569">
        <w:rPr>
          <w:rFonts w:ascii="Garamond" w:hAnsi="Garamond" w:cs="Garamond"/>
          <w:sz w:val="22"/>
          <w:szCs w:val="22"/>
        </w:rPr>
        <w:t>, come da proposta economica del 15/06/2015 - Prot. 4917 del 17/06/2015</w:t>
      </w:r>
      <w:r w:rsidRPr="0038568A">
        <w:rPr>
          <w:rFonts w:ascii="Garamond" w:hAnsi="Garamond" w:cs="Garamond"/>
          <w:sz w:val="22"/>
          <w:szCs w:val="22"/>
        </w:rPr>
        <w:t>;</w:t>
      </w:r>
    </w:p>
    <w:p w:rsidR="0038568A" w:rsidRPr="0038568A" w:rsidRDefault="0038568A" w:rsidP="0038568A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di dare atto che la copertura finanziaria dell'operazione è prevista nel bilancio consuntivo residui anno 2014 al cap. 26 art. 1 per l'Unione dei Comuni Amiata Val d'Orcia, al cap. 27 art. 1 per l'Unione dei Comuni Val di Merse ed al cap. 28 art. 1 per l'Unione dei Comuni Colline del Fiora;</w:t>
      </w:r>
      <w:r w:rsidRPr="0038568A">
        <w:rPr>
          <w:rFonts w:ascii="Garamond" w:hAnsi="Garamond" w:cs="Garamond"/>
          <w:sz w:val="22"/>
          <w:szCs w:val="22"/>
        </w:rPr>
        <w:t xml:space="preserve"> </w:t>
      </w:r>
    </w:p>
    <w:p w:rsidR="0038568A" w:rsidRPr="0038568A" w:rsidRDefault="0038568A" w:rsidP="0038568A">
      <w:pPr>
        <w:pStyle w:val="Paragrafoelenco1"/>
        <w:numPr>
          <w:ilvl w:val="0"/>
          <w:numId w:val="3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 w:rsidRPr="0038568A">
        <w:rPr>
          <w:rFonts w:ascii="Garamond" w:hAnsi="Garamond" w:cs="Garamond"/>
          <w:sz w:val="22"/>
          <w:szCs w:val="22"/>
        </w:rPr>
        <w:t xml:space="preserve">di pubblicare il presente Decreto sul sito internet del Consorzio.    </w:t>
      </w:r>
    </w:p>
    <w:p w:rsidR="006A195E" w:rsidRDefault="006A195E" w:rsidP="006A195E">
      <w:pPr>
        <w:tabs>
          <w:tab w:val="left" w:pos="540"/>
          <w:tab w:val="left" w:pos="6480"/>
          <w:tab w:val="left" w:pos="9638"/>
          <w:tab w:val="left" w:pos="9720"/>
        </w:tabs>
        <w:spacing w:line="300" w:lineRule="exact"/>
        <w:jc w:val="both"/>
        <w:rPr>
          <w:rFonts w:ascii="Garamond" w:hAnsi="Garamond" w:cs="Garamond"/>
        </w:rPr>
      </w:pPr>
    </w:p>
    <w:p w:rsidR="006A195E" w:rsidRDefault="006A195E" w:rsidP="006A195E">
      <w:pPr>
        <w:pStyle w:val="Paragrafoelenco1"/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</w:p>
    <w:p w:rsidR="006A195E" w:rsidRDefault="006A195E" w:rsidP="006A195E">
      <w:pPr>
        <w:pStyle w:val="Paragrafoelenco1"/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</w:p>
    <w:p w:rsidR="006A195E" w:rsidRDefault="006A195E" w:rsidP="006A195E">
      <w:pPr>
        <w:pStyle w:val="Corpodeltesto21"/>
        <w:tabs>
          <w:tab w:val="left" w:pos="1322"/>
          <w:tab w:val="left" w:pos="1682"/>
        </w:tabs>
        <w:spacing w:after="0" w:line="100" w:lineRule="atLeast"/>
        <w:ind w:left="-709" w:hanging="283"/>
        <w:jc w:val="both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                                                                                                               IL DIRETTORE GENERALE</w:t>
      </w:r>
    </w:p>
    <w:p w:rsidR="006A195E" w:rsidRDefault="006A195E" w:rsidP="006A195E">
      <w:pPr>
        <w:pStyle w:val="Corpodeltesto21"/>
        <w:tabs>
          <w:tab w:val="left" w:pos="558"/>
          <w:tab w:val="left" w:pos="918"/>
        </w:tabs>
        <w:spacing w:after="0" w:line="100" w:lineRule="atLeast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                                                                        </w:t>
      </w:r>
      <w:r w:rsidR="00F60076">
        <w:rPr>
          <w:rFonts w:ascii="Garamond" w:hAnsi="Garamond" w:cs="Garamond"/>
          <w:b/>
          <w:bCs/>
          <w:i/>
          <w:iCs/>
          <w:sz w:val="22"/>
          <w:szCs w:val="22"/>
        </w:rPr>
        <w:t xml:space="preserve">                           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(Arch. Fabio Zappalorti)</w:t>
      </w:r>
    </w:p>
    <w:p w:rsidR="006A195E" w:rsidRDefault="006A195E" w:rsidP="006A195E">
      <w:pPr>
        <w:tabs>
          <w:tab w:val="left" w:pos="2472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6A195E" w:rsidRDefault="006A195E" w:rsidP="006A195E">
      <w:pPr>
        <w:tabs>
          <w:tab w:val="left" w:pos="2472"/>
        </w:tabs>
        <w:rPr>
          <w:rFonts w:ascii="Garamond" w:hAnsi="Garamond" w:cs="Garamond"/>
        </w:rPr>
      </w:pPr>
    </w:p>
    <w:p w:rsidR="006A195E" w:rsidRDefault="006A195E" w:rsidP="006A195E">
      <w:pPr>
        <w:tabs>
          <w:tab w:val="left" w:pos="2472"/>
        </w:tabs>
        <w:rPr>
          <w:rFonts w:ascii="Garamond" w:hAnsi="Garamond" w:cs="Garamond"/>
        </w:rPr>
      </w:pPr>
    </w:p>
    <w:p w:rsidR="006A195E" w:rsidRDefault="006A195E" w:rsidP="006A195E">
      <w:pPr>
        <w:tabs>
          <w:tab w:val="left" w:pos="2472"/>
        </w:tabs>
        <w:spacing w:line="300" w:lineRule="exact"/>
        <w:jc w:val="center"/>
        <w:rPr>
          <w:rFonts w:ascii="Garamond" w:hAnsi="Garamond" w:cs="Garamond"/>
          <w:b/>
          <w:i/>
        </w:rPr>
      </w:pPr>
    </w:p>
    <w:p w:rsidR="006A195E" w:rsidRDefault="006A195E" w:rsidP="006A195E">
      <w:pPr>
        <w:tabs>
          <w:tab w:val="left" w:pos="2472"/>
        </w:tabs>
      </w:pPr>
    </w:p>
    <w:p w:rsidR="00282E43" w:rsidRDefault="00282E43" w:rsidP="006A195E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70" w:rsidRDefault="00BD2170" w:rsidP="00372E6B">
      <w:pPr>
        <w:spacing w:after="0" w:line="240" w:lineRule="auto"/>
      </w:pPr>
      <w:r>
        <w:separator/>
      </w:r>
    </w:p>
  </w:endnote>
  <w:endnote w:type="continuationSeparator" w:id="0">
    <w:p w:rsidR="00BD2170" w:rsidRDefault="00BD2170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E8" w:rsidRDefault="00753611" w:rsidP="004075F8">
    <w:pPr>
      <w:pStyle w:val="Pidipagina"/>
    </w:pPr>
    <w:r>
      <w:rPr>
        <w:noProof/>
        <w:lang w:eastAsia="it-IT"/>
      </w:rPr>
      <w:pict>
        <v:line id="Connettore 1 4" o:spid="_x0000_s4098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4A0FE8">
      <w:t xml:space="preserve">                        </w:t>
    </w:r>
    <w:r w:rsidR="004A0FE8">
      <w:rPr>
        <w:noProof/>
        <w:lang w:eastAsia="it-IT"/>
      </w:rPr>
      <w:t xml:space="preserve">  </w:t>
    </w:r>
  </w:p>
  <w:p w:rsidR="004A0FE8" w:rsidRDefault="004A0FE8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2pt;height:36pt" o:ole="">
          <v:imagedata r:id="rId1" o:title=""/>
        </v:shape>
        <o:OLEObject Type="Embed" ProgID="AcroExch.Document.11" ShapeID="_x0000_i1025" DrawAspect="Content" ObjectID="_1500111326" r:id="rId2"/>
      </w:object>
    </w:r>
  </w:p>
  <w:p w:rsidR="004A0FE8" w:rsidRPr="00372E6B" w:rsidRDefault="004A0FE8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70" w:rsidRDefault="00BD2170" w:rsidP="00372E6B">
      <w:pPr>
        <w:spacing w:after="0" w:line="240" w:lineRule="auto"/>
      </w:pPr>
      <w:r>
        <w:separator/>
      </w:r>
    </w:p>
  </w:footnote>
  <w:footnote w:type="continuationSeparator" w:id="0">
    <w:p w:rsidR="00BD2170" w:rsidRDefault="00BD2170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15201"/>
    <w:rsid w:val="00030B11"/>
    <w:rsid w:val="00046B07"/>
    <w:rsid w:val="00057EF5"/>
    <w:rsid w:val="00061822"/>
    <w:rsid w:val="00081D1C"/>
    <w:rsid w:val="00091F80"/>
    <w:rsid w:val="00094B7B"/>
    <w:rsid w:val="0009647A"/>
    <w:rsid w:val="000A1E76"/>
    <w:rsid w:val="000A526D"/>
    <w:rsid w:val="000C41BC"/>
    <w:rsid w:val="000D3387"/>
    <w:rsid w:val="000D585D"/>
    <w:rsid w:val="000D5EA9"/>
    <w:rsid w:val="000E4CC5"/>
    <w:rsid w:val="000E5D53"/>
    <w:rsid w:val="000F333E"/>
    <w:rsid w:val="00100DEE"/>
    <w:rsid w:val="00123028"/>
    <w:rsid w:val="00126A15"/>
    <w:rsid w:val="00127EF6"/>
    <w:rsid w:val="00170C1D"/>
    <w:rsid w:val="00180EF6"/>
    <w:rsid w:val="00183370"/>
    <w:rsid w:val="001B57F8"/>
    <w:rsid w:val="001C4543"/>
    <w:rsid w:val="001D534B"/>
    <w:rsid w:val="001D720F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8568A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4075F8"/>
    <w:rsid w:val="0041188D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A0FE8"/>
    <w:rsid w:val="004B74B1"/>
    <w:rsid w:val="004D3C3C"/>
    <w:rsid w:val="004E38CA"/>
    <w:rsid w:val="004F5960"/>
    <w:rsid w:val="0050362F"/>
    <w:rsid w:val="00513FD1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5D78"/>
    <w:rsid w:val="00607231"/>
    <w:rsid w:val="00614D55"/>
    <w:rsid w:val="0062562A"/>
    <w:rsid w:val="00625B72"/>
    <w:rsid w:val="00626FEC"/>
    <w:rsid w:val="00641327"/>
    <w:rsid w:val="00642532"/>
    <w:rsid w:val="00667BD8"/>
    <w:rsid w:val="006A195E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53611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600C"/>
    <w:rsid w:val="00AD6072"/>
    <w:rsid w:val="00AE0C35"/>
    <w:rsid w:val="00AE35FF"/>
    <w:rsid w:val="00AE5075"/>
    <w:rsid w:val="00AE62EB"/>
    <w:rsid w:val="00AE6F27"/>
    <w:rsid w:val="00AE7302"/>
    <w:rsid w:val="00AF5819"/>
    <w:rsid w:val="00B36569"/>
    <w:rsid w:val="00B44AE9"/>
    <w:rsid w:val="00B4724B"/>
    <w:rsid w:val="00B51210"/>
    <w:rsid w:val="00B75392"/>
    <w:rsid w:val="00BA5A21"/>
    <w:rsid w:val="00BA73B1"/>
    <w:rsid w:val="00BB6FA9"/>
    <w:rsid w:val="00BD2170"/>
    <w:rsid w:val="00C04146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107C"/>
    <w:rsid w:val="00D324C6"/>
    <w:rsid w:val="00D3390A"/>
    <w:rsid w:val="00D33F1D"/>
    <w:rsid w:val="00D41B76"/>
    <w:rsid w:val="00D7466F"/>
    <w:rsid w:val="00D83F2A"/>
    <w:rsid w:val="00D84D7D"/>
    <w:rsid w:val="00D95B46"/>
    <w:rsid w:val="00DA15F9"/>
    <w:rsid w:val="00DB05CC"/>
    <w:rsid w:val="00DB2201"/>
    <w:rsid w:val="00DD1B54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10C0"/>
    <w:rsid w:val="00F17F93"/>
    <w:rsid w:val="00F25011"/>
    <w:rsid w:val="00F2654D"/>
    <w:rsid w:val="00F5327E"/>
    <w:rsid w:val="00F57807"/>
    <w:rsid w:val="00F60076"/>
    <w:rsid w:val="00F615D0"/>
    <w:rsid w:val="00F655F7"/>
    <w:rsid w:val="00F65BDA"/>
    <w:rsid w:val="00F70B82"/>
    <w:rsid w:val="00F71E35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3BB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paragraph" w:customStyle="1" w:styleId="Corpodeltesto21">
    <w:name w:val="Corpo del testo 21"/>
    <w:basedOn w:val="Normale"/>
    <w:rsid w:val="006A195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Paragrafoelenco1">
    <w:name w:val="Paragrafo elenco1"/>
    <w:basedOn w:val="Normale"/>
    <w:rsid w:val="006A195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Vanessa Turchi</cp:lastModifiedBy>
  <cp:revision>9</cp:revision>
  <cp:lastPrinted>2015-07-08T09:08:00Z</cp:lastPrinted>
  <dcterms:created xsi:type="dcterms:W3CDTF">2015-07-07T12:59:00Z</dcterms:created>
  <dcterms:modified xsi:type="dcterms:W3CDTF">2015-08-03T10:49:00Z</dcterms:modified>
</cp:coreProperties>
</file>