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25" w:rsidRPr="00392D56" w:rsidRDefault="004C5C25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-17.8pt;margin-top:.1pt;width:2in;height:84pt;z-index:-251658240;visibility:visible">
            <v:imagedata r:id="rId7" o:title="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4C5C25" w:rsidRDefault="004C5C25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4C5C25" w:rsidRDefault="004C5C25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4C5C25" w:rsidRPr="00332159" w:rsidRDefault="004C5C25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4C5C25" w:rsidRPr="00834305" w:rsidRDefault="004C5C25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4C5C25" w:rsidRDefault="004C5C25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F615D0" w:rsidRDefault="004C5C25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4C5C25" w:rsidRDefault="004C5C2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8B4185" w:rsidRDefault="004C5C25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88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09</w:t>
      </w:r>
      <w:r w:rsidRPr="00AE12F9">
        <w:rPr>
          <w:rFonts w:ascii="Garamond" w:hAnsi="Garamond" w:cs="Garamond"/>
          <w:b/>
          <w:bCs/>
          <w:sz w:val="32"/>
          <w:szCs w:val="32"/>
          <w:u w:val="double"/>
        </w:rPr>
        <w:t>/02/2016</w:t>
      </w:r>
    </w:p>
    <w:p w:rsidR="004C5C25" w:rsidRPr="00AE12F9" w:rsidRDefault="004C5C25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AE12F9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4C5C25" w:rsidRPr="00AE12F9" w:rsidRDefault="004C5C2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AE12F9">
        <w:rPr>
          <w:rFonts w:ascii="Garamond" w:hAnsi="Garamond" w:cs="Garamond"/>
          <w:spacing w:val="10"/>
          <w:sz w:val="24"/>
          <w:szCs w:val="24"/>
        </w:rPr>
        <w:t>OGGETTO: Approvazione in linea tecnica progetto preliminare di cui alla “PERIZIA N° 065 - PSR 2014-2020 Sottomisura</w:t>
      </w:r>
      <w:r>
        <w:rPr>
          <w:rFonts w:ascii="Garamond" w:hAnsi="Garamond" w:cs="Garamond"/>
          <w:spacing w:val="10"/>
          <w:sz w:val="24"/>
          <w:szCs w:val="24"/>
        </w:rPr>
        <w:t xml:space="preserve"> 8.3 - REALIZZAZIONE DI BRIGLIE F</w:t>
      </w:r>
      <w:r w:rsidRPr="00AE12F9">
        <w:rPr>
          <w:rFonts w:ascii="Garamond" w:hAnsi="Garamond" w:cs="Garamond"/>
          <w:spacing w:val="10"/>
          <w:sz w:val="24"/>
          <w:szCs w:val="24"/>
        </w:rPr>
        <w:t xml:space="preserve">INALIZZATE AL MIGLIORAMENTO DELLA DINAMICA D’ALVEO TORRENTE DEL FOSSATONE IN LOC. CASA MONTIERI - COMUNE DI CASTIGLIONE D’ORCIA” dell’importo di € 720.000,00.  </w:t>
      </w:r>
    </w:p>
    <w:p w:rsidR="004C5C25" w:rsidRPr="00AE12F9" w:rsidRDefault="004C5C2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4C5C25" w:rsidRPr="00AE12F9" w:rsidRDefault="004C5C25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4C5C25" w:rsidRPr="00AE12F9" w:rsidRDefault="004C5C25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4C5C25" w:rsidRPr="00AE12F9" w:rsidRDefault="004C5C25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AE12F9">
        <w:rPr>
          <w:rFonts w:ascii="Garamond" w:hAnsi="Garamond" w:cs="Garamond"/>
          <w:b/>
          <w:bCs/>
          <w:sz w:val="26"/>
          <w:szCs w:val="26"/>
        </w:rPr>
        <w:t>Numero proposta:  -</w:t>
      </w:r>
    </w:p>
    <w:p w:rsidR="004C5C25" w:rsidRPr="00AE12F9" w:rsidRDefault="004C5C25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 w:rsidRPr="00AE12F9">
        <w:t xml:space="preserve">           </w:t>
      </w:r>
    </w:p>
    <w:p w:rsidR="004C5C25" w:rsidRPr="00AE12F9" w:rsidRDefault="004C5C2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4C5C25" w:rsidRPr="00AE12F9" w:rsidRDefault="004C5C25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AE12F9"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88</w:t>
      </w:r>
      <w:r w:rsidRPr="00AE12F9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09</w:t>
      </w:r>
      <w:r w:rsidRPr="00AE12F9">
        <w:rPr>
          <w:rFonts w:ascii="Garamond" w:hAnsi="Garamond" w:cs="Garamond"/>
          <w:b/>
          <w:bCs/>
          <w:sz w:val="24"/>
          <w:szCs w:val="24"/>
          <w:u w:val="double"/>
        </w:rPr>
        <w:t xml:space="preserve"> FEBBRAIO 2016</w:t>
      </w:r>
    </w:p>
    <w:p w:rsidR="004C5C25" w:rsidRPr="00AE12F9" w:rsidRDefault="004C5C25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4C5C25" w:rsidRPr="00E206C7" w:rsidRDefault="004C5C25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AE12F9">
        <w:rPr>
          <w:rFonts w:ascii="Garamond" w:hAnsi="Garamond" w:cs="Garamond"/>
        </w:rPr>
        <w:t>L’anno duemilasedici il giorno 0</w:t>
      </w:r>
      <w:r>
        <w:rPr>
          <w:rFonts w:ascii="Garamond" w:hAnsi="Garamond" w:cs="Garamond"/>
        </w:rPr>
        <w:t>9</w:t>
      </w:r>
      <w:r w:rsidRPr="00AE12F9">
        <w:rPr>
          <w:rFonts w:ascii="Garamond" w:hAnsi="Garamond" w:cs="Garamond"/>
        </w:rPr>
        <w:t xml:space="preserve"> del mese di </w:t>
      </w:r>
      <w:r>
        <w:rPr>
          <w:rFonts w:ascii="Garamond" w:hAnsi="Garamond" w:cs="Garamond"/>
        </w:rPr>
        <w:t>febbraio</w:t>
      </w:r>
      <w:r w:rsidRPr="00AE12F9">
        <w:rPr>
          <w:rFonts w:ascii="Garamond" w:hAnsi="Garamond" w:cs="Garamond"/>
        </w:rPr>
        <w:t xml:space="preserve"> alle ore 10.00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4C5C25" w:rsidRPr="000A6B6C" w:rsidRDefault="004C5C25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4C5C25" w:rsidRPr="00BB389D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</w:t>
      </w:r>
      <w:r>
        <w:rPr>
          <w:rFonts w:ascii="Garamond" w:hAnsi="Garamond" w:cs="Garamond"/>
        </w:rPr>
        <w:t>.</w:t>
      </w:r>
      <w:r w:rsidRPr="00E206C7">
        <w:rPr>
          <w:rFonts w:ascii="Garamond" w:hAnsi="Garamond" w:cs="Garamond"/>
        </w:rPr>
        <w:t>R</w:t>
      </w:r>
      <w:r>
        <w:rPr>
          <w:rFonts w:ascii="Garamond" w:hAnsi="Garamond" w:cs="Garamond"/>
        </w:rPr>
        <w:t>.</w:t>
      </w:r>
      <w:r w:rsidRPr="00E206C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79/</w:t>
      </w:r>
      <w:r w:rsidRPr="00E206C7">
        <w:rPr>
          <w:rFonts w:ascii="Garamond" w:hAnsi="Garamond" w:cs="Garamond"/>
        </w:rPr>
        <w:t>2012</w:t>
      </w:r>
      <w:r>
        <w:rPr>
          <w:rFonts w:ascii="Garamond" w:hAnsi="Garamond" w:cs="Garamond"/>
        </w:rPr>
        <w:t xml:space="preserve"> ed in particolare l’Art. n.21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4C5C25" w:rsidRPr="005D40E0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</w:t>
      </w:r>
      <w:r>
        <w:rPr>
          <w:rFonts w:ascii="Garamond" w:hAnsi="Garamond" w:cs="Garamond"/>
        </w:rPr>
        <w:t>del Presidente n.223 del 22/01/</w:t>
      </w:r>
      <w:r w:rsidRPr="005D40E0">
        <w:rPr>
          <w:rFonts w:ascii="Garamond" w:hAnsi="Garamond" w:cs="Garamond"/>
        </w:rPr>
        <w:t xml:space="preserve">2015 con il quale è stato assunto l’Arch. Fabio Zappalorti con la qualifica di Direttore Generale del Consorzio </w:t>
      </w:r>
      <w:r>
        <w:rPr>
          <w:rFonts w:ascii="Garamond" w:hAnsi="Garamond" w:cs="Garamond"/>
        </w:rPr>
        <w:t>6 Toscana Sud a far data dal 01/02/</w:t>
      </w:r>
      <w:r w:rsidRPr="005D40E0">
        <w:rPr>
          <w:rFonts w:ascii="Garamond" w:hAnsi="Garamond" w:cs="Garamond"/>
        </w:rPr>
        <w:t xml:space="preserve">2015; </w:t>
      </w:r>
    </w:p>
    <w:p w:rsidR="004C5C25" w:rsidRPr="005D40E0" w:rsidRDefault="004C5C25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 xml:space="preserve">Visto il vigente Statuto Consortile approvato con delibera n.6 dell’Assemblea consortile, seduta n.2 del 29/04/2015 (pubblicato sul B.U.R.T  parte seconda n.20 del 20/05/2015 Supplemento n.78) ed in particolare l’art. </w:t>
      </w:r>
      <w:r>
        <w:rPr>
          <w:rFonts w:ascii="Garamond" w:hAnsi="Garamond" w:cs="Garamond"/>
        </w:rPr>
        <w:t>n.</w:t>
      </w:r>
      <w:r w:rsidRPr="005D40E0">
        <w:rPr>
          <w:rFonts w:ascii="Garamond" w:hAnsi="Garamond" w:cs="Garamond"/>
        </w:rPr>
        <w:t xml:space="preserve">38 comma 1 che affida al Direttore Generale la struttura operativa e tecnico amministrativa definita dal Piano di Organizzazione Variabile e l’art. </w:t>
      </w:r>
      <w:r>
        <w:rPr>
          <w:rFonts w:ascii="Garamond" w:hAnsi="Garamond" w:cs="Garamond"/>
        </w:rPr>
        <w:t>n.</w:t>
      </w:r>
      <w:r w:rsidRPr="005D40E0">
        <w:rPr>
          <w:rFonts w:ascii="Garamond" w:hAnsi="Garamond" w:cs="Garamond"/>
        </w:rPr>
        <w:t>38 comma 3 lettera o) che individua tra le funzioni del Direttore Generale quella di individuare i responsabili unici del procedimento ai sensi del D</w:t>
      </w:r>
      <w:r>
        <w:rPr>
          <w:rFonts w:ascii="Garamond" w:hAnsi="Garamond" w:cs="Garamond"/>
        </w:rPr>
        <w:t>.l</w:t>
      </w:r>
      <w:r w:rsidRPr="005D40E0">
        <w:rPr>
          <w:rFonts w:ascii="Garamond" w:hAnsi="Garamond" w:cs="Garamond"/>
        </w:rPr>
        <w:t>g</w:t>
      </w:r>
      <w:r>
        <w:rPr>
          <w:rFonts w:ascii="Garamond" w:hAnsi="Garamond" w:cs="Garamond"/>
        </w:rPr>
        <w:t>s.</w:t>
      </w:r>
      <w:r w:rsidRPr="005D40E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1</w:t>
      </w:r>
      <w:r w:rsidRPr="005D40E0">
        <w:rPr>
          <w:rFonts w:ascii="Garamond" w:hAnsi="Garamond" w:cs="Garamond"/>
        </w:rPr>
        <w:t>63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2006, e i responsabili dei vari procedimenti tecnico/amministrativi ai sensi della L. 241/1990;</w:t>
      </w:r>
    </w:p>
    <w:p w:rsidR="004C5C25" w:rsidRPr="005D40E0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D.lgs.</w:t>
      </w:r>
      <w:r>
        <w:rPr>
          <w:rFonts w:ascii="Garamond" w:hAnsi="Garamond" w:cs="Garamond"/>
        </w:rPr>
        <w:t xml:space="preserve"> </w:t>
      </w:r>
      <w:r w:rsidRPr="005D40E0">
        <w:rPr>
          <w:rFonts w:ascii="Garamond" w:hAnsi="Garamond" w:cs="Garamond"/>
        </w:rPr>
        <w:t>163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2006, “Codice dei contratti di lavori, servizi e forniture</w:t>
      </w:r>
      <w:r>
        <w:rPr>
          <w:rFonts w:ascii="Garamond" w:hAnsi="Garamond" w:cs="Garamond"/>
        </w:rPr>
        <w:t>”</w:t>
      </w:r>
      <w:r w:rsidRPr="005D40E0">
        <w:rPr>
          <w:rFonts w:ascii="Garamond" w:hAnsi="Garamond" w:cs="Garamond"/>
        </w:rPr>
        <w:t>;</w:t>
      </w:r>
    </w:p>
    <w:p w:rsidR="004C5C25" w:rsidRPr="005D40E0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D.P.R.</w:t>
      </w:r>
      <w:r>
        <w:rPr>
          <w:rFonts w:ascii="Garamond" w:hAnsi="Garamond" w:cs="Garamond"/>
        </w:rPr>
        <w:t xml:space="preserve"> 207/</w:t>
      </w:r>
      <w:r w:rsidRPr="005D40E0">
        <w:rPr>
          <w:rFonts w:ascii="Garamond" w:hAnsi="Garamond" w:cs="Garamond"/>
        </w:rPr>
        <w:t>2010, “Regolamento di esecuzione e attuazione del D.lgs.</w:t>
      </w:r>
      <w:r>
        <w:rPr>
          <w:rFonts w:ascii="Garamond" w:hAnsi="Garamond" w:cs="Garamond"/>
        </w:rPr>
        <w:t xml:space="preserve"> </w:t>
      </w:r>
      <w:r w:rsidRPr="005D40E0">
        <w:rPr>
          <w:rFonts w:ascii="Garamond" w:hAnsi="Garamond" w:cs="Garamond"/>
        </w:rPr>
        <w:t>163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2006;</w:t>
      </w:r>
    </w:p>
    <w:p w:rsidR="004C5C25" w:rsidRPr="005D40E0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</w:t>
      </w:r>
      <w:r>
        <w:rPr>
          <w:rFonts w:ascii="Garamond" w:hAnsi="Garamond" w:cs="Garamond"/>
        </w:rPr>
        <w:t xml:space="preserve">ta la L.R. </w:t>
      </w:r>
      <w:r w:rsidRPr="005D40E0">
        <w:rPr>
          <w:rFonts w:ascii="Garamond" w:hAnsi="Garamond" w:cs="Garamond"/>
        </w:rPr>
        <w:t>38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2007 “Norme in materia di contratti pubblici e relative disposizioni sulla sicurezza e regolarità del lavoro” e successive modifiche ed integrazioni;</w:t>
      </w:r>
    </w:p>
    <w:p w:rsidR="004C5C25" w:rsidRPr="005D40E0" w:rsidRDefault="004C5C25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4C5C25" w:rsidRPr="005D40E0" w:rsidRDefault="004C5C25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Piano di Organizzazione Variabile (POV) del Consorzio 6 Toscana Sud approvato con deliberazione dell’Assemblea n</w:t>
      </w:r>
      <w:r>
        <w:rPr>
          <w:rFonts w:ascii="Garamond" w:hAnsi="Garamond" w:cs="Garamond"/>
        </w:rPr>
        <w:t>.</w:t>
      </w:r>
      <w:r w:rsidRPr="005D40E0">
        <w:rPr>
          <w:rFonts w:ascii="Garamond" w:hAnsi="Garamond" w:cs="Garamond"/>
        </w:rPr>
        <w:t>13 nella seduta n</w:t>
      </w:r>
      <w:r>
        <w:rPr>
          <w:rFonts w:ascii="Garamond" w:hAnsi="Garamond" w:cs="Garamond"/>
        </w:rPr>
        <w:t>.</w:t>
      </w:r>
      <w:r w:rsidRPr="005D40E0">
        <w:rPr>
          <w:rFonts w:ascii="Garamond" w:hAnsi="Garamond" w:cs="Garamond"/>
        </w:rPr>
        <w:t>3 del 24/09/2015 che individua l’articolazione della struttura operativa e tecnico amministrativa del Consorzio;</w:t>
      </w:r>
    </w:p>
    <w:p w:rsidR="004C5C25" w:rsidRPr="005D40E0" w:rsidRDefault="004C5C25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Decreto del Direttore Generale n</w:t>
      </w:r>
      <w:r>
        <w:rPr>
          <w:rFonts w:ascii="Garamond" w:hAnsi="Garamond" w:cs="Garamond"/>
        </w:rPr>
        <w:t>.</w:t>
      </w:r>
      <w:r w:rsidRPr="005D40E0">
        <w:rPr>
          <w:rFonts w:ascii="Garamond" w:hAnsi="Garamond" w:cs="Garamond"/>
        </w:rPr>
        <w:t xml:space="preserve">209 del 28/12/2015 di nomina a Direttore dell’Area Studi e Progettazione, mediante assegnazione a mansioni superiori con decorrenza </w:t>
      </w:r>
      <w:r>
        <w:rPr>
          <w:rFonts w:ascii="Garamond" w:hAnsi="Garamond" w:cs="Garamond"/>
        </w:rPr>
        <w:t>01/01/</w:t>
      </w:r>
      <w:r w:rsidRPr="005D40E0">
        <w:rPr>
          <w:rFonts w:ascii="Garamond" w:hAnsi="Garamond" w:cs="Garamond"/>
        </w:rPr>
        <w:t>2016, del dipendente Ing. Roberto Tasselli già avente funzione di coordinamento del personale dell’area come da Decreto del Direttore Generale n</w:t>
      </w:r>
      <w:r>
        <w:rPr>
          <w:rFonts w:ascii="Garamond" w:hAnsi="Garamond" w:cs="Garamond"/>
        </w:rPr>
        <w:t>.</w:t>
      </w:r>
      <w:r w:rsidRPr="005D40E0">
        <w:rPr>
          <w:rFonts w:ascii="Garamond" w:hAnsi="Garamond" w:cs="Garamond"/>
        </w:rPr>
        <w:t>108 del 05/10/2015;</w:t>
      </w:r>
    </w:p>
    <w:p w:rsidR="004C5C25" w:rsidRPr="005D40E0" w:rsidRDefault="004C5C25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Programma di Sviluppo Rurale della Regione Toscana 2014-2020 approvato con decisione della Commissione Europea n.</w:t>
      </w:r>
      <w:r>
        <w:rPr>
          <w:rFonts w:ascii="Garamond" w:hAnsi="Garamond" w:cs="Garamond"/>
        </w:rPr>
        <w:t>3507 del 26/05/</w:t>
      </w:r>
      <w:r w:rsidRPr="005D40E0">
        <w:rPr>
          <w:rFonts w:ascii="Garamond" w:hAnsi="Garamond" w:cs="Garamond"/>
        </w:rPr>
        <w:t>2015;</w:t>
      </w:r>
    </w:p>
    <w:p w:rsidR="004C5C25" w:rsidRPr="005D40E0" w:rsidRDefault="004C5C25" w:rsidP="0065515A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 w:rsidRPr="005D40E0">
        <w:rPr>
          <w:rFonts w:ascii="Garamond" w:hAnsi="Garamond" w:cs="Garamond"/>
          <w:sz w:val="22"/>
          <w:szCs w:val="22"/>
          <w:lang w:eastAsia="en-US"/>
        </w:rPr>
        <w:t>Visto il Decreto Dirigenziale della Regione Toscana n</w:t>
      </w:r>
      <w:r>
        <w:rPr>
          <w:rFonts w:ascii="Garamond" w:hAnsi="Garamond" w:cs="Garamond"/>
          <w:sz w:val="22"/>
          <w:szCs w:val="22"/>
          <w:lang w:eastAsia="en-US"/>
        </w:rPr>
        <w:t>.</w:t>
      </w:r>
      <w:r w:rsidRPr="005D40E0">
        <w:rPr>
          <w:rFonts w:ascii="Garamond" w:hAnsi="Garamond" w:cs="Garamond"/>
          <w:sz w:val="22"/>
          <w:szCs w:val="22"/>
          <w:lang w:eastAsia="en-US"/>
        </w:rPr>
        <w:t>5810 del 30/11/2015 “Regolamento (UE) n</w:t>
      </w:r>
      <w:r>
        <w:rPr>
          <w:rFonts w:ascii="Garamond" w:hAnsi="Garamond" w:cs="Garamond"/>
          <w:sz w:val="22"/>
          <w:szCs w:val="22"/>
          <w:lang w:eastAsia="en-US"/>
        </w:rPr>
        <w:t>.</w:t>
      </w:r>
      <w:r w:rsidRPr="005D40E0">
        <w:rPr>
          <w:rFonts w:ascii="Garamond" w:hAnsi="Garamond" w:cs="Garamond"/>
          <w:sz w:val="22"/>
          <w:szCs w:val="22"/>
          <w:lang w:eastAsia="en-US"/>
        </w:rPr>
        <w:t>1305/2013 – programma di sviluppo Rurale 2014 – 2020 della Regione Toscana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2015”;</w:t>
      </w:r>
    </w:p>
    <w:p w:rsidR="004C5C25" w:rsidRPr="005D40E0" w:rsidRDefault="004C5C25" w:rsidP="0065515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Vista la volontà da parte del Consorzio 6 Toscana Sud di partecipare al suddetto bando relativo alla sottomisura 8.3;</w:t>
      </w:r>
    </w:p>
    <w:p w:rsidR="004C5C25" w:rsidRPr="005D40E0" w:rsidRDefault="004C5C25" w:rsidP="00D71F1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 xml:space="preserve">Considerata la necessità di redigere un progetto denominato “PERIZIA </w:t>
      </w:r>
      <w:r>
        <w:rPr>
          <w:rFonts w:ascii="Garamond" w:hAnsi="Garamond" w:cs="Garamond"/>
        </w:rPr>
        <w:t xml:space="preserve">N° </w:t>
      </w:r>
      <w:r w:rsidRPr="005D40E0">
        <w:rPr>
          <w:rFonts w:ascii="Garamond" w:hAnsi="Garamond" w:cs="Garamond"/>
        </w:rPr>
        <w:t xml:space="preserve">065 - PSR 2014-2020 Sottomisura 8.3 - REALIZZAZIONE DI BRIGLIE FINALIZZATE AL MIGLIORAMENTO DELLA DINAMICA D’ALVEO TORRENTE DEL FOSSATONE IN LOC. CASA MONTIERI - COMUNE DI CASTIGLIONE D’ORCIA </w:t>
      </w:r>
      <w:r>
        <w:rPr>
          <w:rFonts w:ascii="Garamond" w:hAnsi="Garamond" w:cs="Garamond"/>
        </w:rPr>
        <w:t>-</w:t>
      </w:r>
      <w:r w:rsidRPr="005D40E0">
        <w:rPr>
          <w:rFonts w:ascii="Garamond" w:hAnsi="Garamond" w:cs="Garamond"/>
        </w:rPr>
        <w:t>” dell’importo di € 720.000,00;</w:t>
      </w:r>
    </w:p>
    <w:p w:rsidR="004C5C25" w:rsidRPr="005D40E0" w:rsidRDefault="004C5C25" w:rsidP="0065515A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Considerato che, dopo l’eventuale atto di assegnazione del finanziamento da parte della Regione Toscana condizionato all’ accettazione della “domanda di aiuto” per la “sottomisura 8.3”, il Consorzio 6 Toscana Sud provvederà ad aggiornare l’</w:t>
      </w:r>
      <w:r>
        <w:rPr>
          <w:rFonts w:ascii="Garamond" w:hAnsi="Garamond" w:cs="Garamond"/>
        </w:rPr>
        <w:t>e</w:t>
      </w:r>
      <w:r w:rsidRPr="005D40E0">
        <w:rPr>
          <w:rFonts w:ascii="Garamond" w:hAnsi="Garamond" w:cs="Garamond"/>
        </w:rPr>
        <w:t>lenco Annuale delle Opere Pubbliche anno 2016 ed il Piano delle Attività di Bonifica anno 2016 creando altresì un apposito capitolo di bilancio con articoli di entrata e di uscita;</w:t>
      </w:r>
    </w:p>
    <w:p w:rsidR="004C5C25" w:rsidRPr="005D40E0" w:rsidRDefault="004C5C25" w:rsidP="00D71F1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</w:t>
      </w:r>
      <w:r>
        <w:rPr>
          <w:rFonts w:ascii="Garamond" w:hAnsi="Garamond" w:cs="Garamond"/>
        </w:rPr>
        <w:t>isto il Decreto del Direttore n.</w:t>
      </w:r>
      <w:r w:rsidRPr="005D40E0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4 del 26/01/</w:t>
      </w:r>
      <w:r w:rsidRPr="005D40E0">
        <w:rPr>
          <w:rFonts w:ascii="Garamond" w:hAnsi="Garamond" w:cs="Garamond"/>
        </w:rPr>
        <w:t>2016, con il quale si nomina Respon</w:t>
      </w:r>
      <w:r>
        <w:rPr>
          <w:rFonts w:ascii="Garamond" w:hAnsi="Garamond" w:cs="Garamond"/>
        </w:rPr>
        <w:t>sabile Unico del Procedimento (</w:t>
      </w:r>
      <w:r w:rsidRPr="005D40E0">
        <w:rPr>
          <w:rFonts w:ascii="Garamond" w:hAnsi="Garamond" w:cs="Garamond"/>
        </w:rPr>
        <w:t xml:space="preserve">RUP) per i lavori di cui alla “PERIZIA </w:t>
      </w:r>
      <w:r>
        <w:rPr>
          <w:rFonts w:ascii="Garamond" w:hAnsi="Garamond" w:cs="Garamond"/>
        </w:rPr>
        <w:t xml:space="preserve">N° </w:t>
      </w:r>
      <w:r w:rsidRPr="005D40E0">
        <w:rPr>
          <w:rFonts w:ascii="Garamond" w:hAnsi="Garamond" w:cs="Garamond"/>
        </w:rPr>
        <w:t>065 - PSR 2014-2020 Sottomisura 8.3 - REALIZZAZIONE DI BRIGLIE FINALIZZATE AL MIGLIORAMENTO DELLA DINAMICA D’ALVEO TORRENTE DEL FOSSATONE IN LOC. CASA MONTIERI - COMUNE DI CASTIGLIONE D’ORCIA” dell’importo di € 720.000,00 il Geom. Riccardo Battigalli secondo quanto disposto dal D.lgs.</w:t>
      </w:r>
      <w:r>
        <w:rPr>
          <w:rFonts w:ascii="Garamond" w:hAnsi="Garamond" w:cs="Garamond"/>
        </w:rPr>
        <w:t xml:space="preserve"> </w:t>
      </w:r>
      <w:r w:rsidRPr="005D40E0">
        <w:rPr>
          <w:rFonts w:ascii="Garamond" w:hAnsi="Garamond" w:cs="Garamond"/>
        </w:rPr>
        <w:t>163/2006 e dal P.O.V. del Consorzio;</w:t>
      </w:r>
    </w:p>
    <w:p w:rsidR="004C5C25" w:rsidRPr="005D40E0" w:rsidRDefault="004C5C25" w:rsidP="0091655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Decreto del Direttore n</w:t>
      </w:r>
      <w:r>
        <w:rPr>
          <w:rFonts w:ascii="Garamond" w:hAnsi="Garamond" w:cs="Garamond"/>
        </w:rPr>
        <w:t>.51 del 02/02/</w:t>
      </w:r>
      <w:r w:rsidRPr="005D40E0">
        <w:rPr>
          <w:rFonts w:ascii="Garamond" w:hAnsi="Garamond" w:cs="Garamond"/>
        </w:rPr>
        <w:t>2016, con il quale si nomina il gruppo di lavoro per la suddetta Perizia;</w:t>
      </w:r>
    </w:p>
    <w:p w:rsidR="004C5C25" w:rsidRPr="005D40E0" w:rsidRDefault="004C5C25" w:rsidP="00594365">
      <w:pPr>
        <w:numPr>
          <w:ilvl w:val="0"/>
          <w:numId w:val="3"/>
        </w:numPr>
        <w:tabs>
          <w:tab w:val="left" w:pos="54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il Decreto del Presidente n</w:t>
      </w:r>
      <w:r>
        <w:rPr>
          <w:rFonts w:ascii="Garamond" w:hAnsi="Garamond" w:cs="Garamond"/>
        </w:rPr>
        <w:t>.</w:t>
      </w:r>
      <w:r w:rsidRPr="005D40E0">
        <w:rPr>
          <w:rFonts w:ascii="Garamond" w:hAnsi="Garamond" w:cs="Garamond"/>
        </w:rPr>
        <w:t>08 del 04</w:t>
      </w:r>
      <w:r>
        <w:rPr>
          <w:rFonts w:ascii="Garamond" w:hAnsi="Garamond" w:cs="Garamond"/>
        </w:rPr>
        <w:t>/02/</w:t>
      </w:r>
      <w:r w:rsidRPr="005D40E0">
        <w:rPr>
          <w:rFonts w:ascii="Garamond" w:hAnsi="Garamond" w:cs="Garamond"/>
        </w:rPr>
        <w:t>2016, con il quale si approva il Documento Preliminare alla Progettazione redatto il giorno 02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02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 xml:space="preserve">2016 dal Responsabile Unico del Procedimento Geom. </w:t>
      </w:r>
      <w:r>
        <w:rPr>
          <w:rFonts w:ascii="Garamond" w:hAnsi="Garamond" w:cs="Garamond"/>
        </w:rPr>
        <w:t>Riccardo</w:t>
      </w:r>
      <w:r w:rsidRPr="005D40E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Battigalli</w:t>
      </w:r>
      <w:r w:rsidRPr="005D40E0">
        <w:rPr>
          <w:rFonts w:ascii="Garamond" w:hAnsi="Garamond" w:cs="Garamond"/>
        </w:rPr>
        <w:t>, relativo ai lavori di cui alla P</w:t>
      </w:r>
      <w:r>
        <w:rPr>
          <w:rFonts w:ascii="Garamond" w:hAnsi="Garamond" w:cs="Garamond"/>
        </w:rPr>
        <w:t>ERIZIA N° 065</w:t>
      </w:r>
      <w:r w:rsidRPr="005D40E0">
        <w:rPr>
          <w:rFonts w:ascii="Garamond" w:hAnsi="Garamond" w:cs="Garamond"/>
        </w:rPr>
        <w:t xml:space="preserve">; </w:t>
      </w:r>
    </w:p>
    <w:p w:rsidR="004C5C25" w:rsidRPr="005D40E0" w:rsidRDefault="004C5C25" w:rsidP="0091655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 xml:space="preserve">Visto il progetto preliminare redatto dall’Area Studi e Progettazione denominato “PERIZIA </w:t>
      </w:r>
      <w:r>
        <w:rPr>
          <w:rFonts w:ascii="Garamond" w:hAnsi="Garamond" w:cs="Garamond"/>
        </w:rPr>
        <w:t>N</w:t>
      </w:r>
      <w:r w:rsidRPr="005D40E0">
        <w:rPr>
          <w:rFonts w:ascii="Garamond" w:hAnsi="Garamond" w:cs="Garamond"/>
        </w:rPr>
        <w:t>° 065 - PSR 2014-2020 Sottomisura 8.3 - REALIZZAZIONE DI BRIGLIE FINALIZZATE AL MIGLIORAMENTO DELLA DINAMICA D’ALVEO TORRENTE DEL FOSSATONE IN LOC. CASA MONTIERI - CO</w:t>
      </w:r>
      <w:r>
        <w:rPr>
          <w:rFonts w:ascii="Garamond" w:hAnsi="Garamond" w:cs="Garamond"/>
        </w:rPr>
        <w:t xml:space="preserve">MUNE DI CASTIGLIONE D’ORCIA” </w:t>
      </w:r>
      <w:r w:rsidRPr="005D40E0">
        <w:rPr>
          <w:rFonts w:ascii="Garamond" w:hAnsi="Garamond" w:cs="Garamond"/>
        </w:rPr>
        <w:t>dell’importo di € 720.000,00 in data 05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02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2016 composto dai seguenti elaborati:</w:t>
      </w:r>
    </w:p>
    <w:tbl>
      <w:tblPr>
        <w:tblW w:w="0" w:type="auto"/>
        <w:tblInd w:w="498" w:type="dxa"/>
        <w:tblLook w:val="00A0"/>
      </w:tblPr>
      <w:tblGrid>
        <w:gridCol w:w="347"/>
        <w:gridCol w:w="236"/>
        <w:gridCol w:w="9325"/>
      </w:tblGrid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A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RELAZIONE ILLUSTRATIVA;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ELABORATI GRAFICI: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E.1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3C22B9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- 1:50.000;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E.2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BF3886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- 1:25.000;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E.3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BF3886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- 1:10.000;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E.4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BF3886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intervento con posizionamento briglie - 1:1.000;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E.5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3C22B9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Profilo planimetria e sezioni;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E.6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Documentazione fotografica;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F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PRIME INDICAZIONI E MISURE FINALIZZATE ALLA TUTELA DELLA SALUTE E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SICUREZZA DEI LUOGHI DI LAVORO PER LA STESURA DEI PIANI DI SICUREZZA;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G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CALCOLO SOMMARIO DELLA SPESA;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H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QUADRO ECONOMICO DI PROGETTO;</w:t>
            </w:r>
          </w:p>
        </w:tc>
      </w:tr>
      <w:tr w:rsidR="004C5C25" w:rsidRPr="005D40E0" w:rsidTr="00594365">
        <w:trPr>
          <w:trHeight w:val="255"/>
        </w:trPr>
        <w:tc>
          <w:tcPr>
            <w:tcW w:w="347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I</w:t>
            </w:r>
          </w:p>
        </w:tc>
        <w:tc>
          <w:tcPr>
            <w:tcW w:w="236" w:type="dxa"/>
            <w:noWrap/>
          </w:tcPr>
          <w:p w:rsidR="004C5C25" w:rsidRPr="00400B48" w:rsidRDefault="004C5C25" w:rsidP="00464AD0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51"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325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VERIFICA PROGETTO PRELIMINARE.</w:t>
            </w:r>
          </w:p>
        </w:tc>
      </w:tr>
    </w:tbl>
    <w:p w:rsidR="004C5C25" w:rsidRPr="005D40E0" w:rsidRDefault="004C5C25" w:rsidP="0091655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Visto che il Responsabile Unico del Procedimento e i verificatori del Gruppo di Lavoro hanno effettuato sugli elaborati del progetto di cui sopra, le verifiche di cui agli art. n.52-53 e 54 D.P.R. 207/2010 e s.m.i. e che le stesse hanno dato esito positivo;</w:t>
      </w:r>
    </w:p>
    <w:p w:rsidR="004C5C25" w:rsidRPr="005D40E0" w:rsidRDefault="004C5C25" w:rsidP="00DD3071">
      <w:pPr>
        <w:numPr>
          <w:ilvl w:val="0"/>
          <w:numId w:val="3"/>
        </w:numPr>
        <w:tabs>
          <w:tab w:val="left" w:pos="540"/>
          <w:tab w:val="left" w:pos="9638"/>
          <w:tab w:val="left" w:pos="9720"/>
        </w:tabs>
        <w:suppressAutoHyphens/>
        <w:spacing w:after="0" w:line="360" w:lineRule="auto"/>
        <w:ind w:left="567" w:hanging="284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>Viste le</w:t>
      </w:r>
      <w:r>
        <w:rPr>
          <w:rFonts w:ascii="Garamond" w:hAnsi="Garamond" w:cs="Garamond"/>
        </w:rPr>
        <w:t xml:space="preserve"> disposizioni di cui al D.lgs. </w:t>
      </w:r>
      <w:r w:rsidRPr="005D40E0">
        <w:rPr>
          <w:rFonts w:ascii="Garamond" w:hAnsi="Garamond" w:cs="Garamond"/>
        </w:rPr>
        <w:t>163/2006 s.m.i., del D.P.R. 207/2010 s.m.i. e del D.lgs. 81/2008 s.m.i.;</w:t>
      </w:r>
    </w:p>
    <w:p w:rsidR="004C5C25" w:rsidRDefault="004C5C25" w:rsidP="0091655E">
      <w:pPr>
        <w:ind w:left="561"/>
        <w:jc w:val="center"/>
        <w:rPr>
          <w:rFonts w:ascii="Garamond" w:hAnsi="Garamond" w:cs="Garamond"/>
          <w:b/>
          <w:bCs/>
          <w:i/>
          <w:iCs/>
        </w:rPr>
      </w:pPr>
    </w:p>
    <w:p w:rsidR="004C5C25" w:rsidRDefault="004C5C25" w:rsidP="0091655E">
      <w:pPr>
        <w:ind w:left="561"/>
        <w:jc w:val="center"/>
        <w:rPr>
          <w:rFonts w:ascii="Garamond" w:hAnsi="Garamond" w:cs="Garamond"/>
          <w:b/>
          <w:bCs/>
          <w:i/>
          <w:iCs/>
        </w:rPr>
      </w:pPr>
    </w:p>
    <w:p w:rsidR="004C5C25" w:rsidRPr="005D40E0" w:rsidRDefault="004C5C25" w:rsidP="0091655E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5D40E0">
        <w:rPr>
          <w:rFonts w:ascii="Garamond" w:hAnsi="Garamond" w:cs="Garamond"/>
          <w:b/>
          <w:bCs/>
          <w:i/>
          <w:iCs/>
        </w:rPr>
        <w:t>IL DIRETTORE GENERALE</w:t>
      </w:r>
    </w:p>
    <w:p w:rsidR="004C5C25" w:rsidRPr="005D40E0" w:rsidRDefault="004C5C25" w:rsidP="0091655E">
      <w:pPr>
        <w:ind w:left="561"/>
        <w:jc w:val="center"/>
        <w:rPr>
          <w:rFonts w:ascii="Garamond" w:hAnsi="Garamond" w:cs="Garamond"/>
        </w:rPr>
      </w:pPr>
      <w:r w:rsidRPr="005D40E0">
        <w:rPr>
          <w:rFonts w:ascii="Garamond" w:hAnsi="Garamond" w:cs="Garamond"/>
          <w:b/>
          <w:bCs/>
          <w:i/>
          <w:iCs/>
        </w:rPr>
        <w:t>DECRETA</w:t>
      </w:r>
    </w:p>
    <w:p w:rsidR="004C5C25" w:rsidRPr="005D40E0" w:rsidRDefault="004C5C25" w:rsidP="0091655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D40E0">
        <w:rPr>
          <w:rFonts w:ascii="Garamond" w:hAnsi="Garamond" w:cs="Garamond"/>
        </w:rPr>
        <w:t xml:space="preserve">Di approvare in linea tecnica il progetto preliminare denominato “PERIZIA </w:t>
      </w:r>
      <w:r>
        <w:rPr>
          <w:rFonts w:ascii="Garamond" w:hAnsi="Garamond" w:cs="Garamond"/>
        </w:rPr>
        <w:t>N</w:t>
      </w:r>
      <w:r w:rsidRPr="005D40E0">
        <w:rPr>
          <w:rFonts w:ascii="Garamond" w:hAnsi="Garamond" w:cs="Garamond"/>
        </w:rPr>
        <w:t>° 065 - PSR 2014-2020 Sottomisura 8.3 - REALIZZAZIONE DI BRIGLIE FINALIZZATE AL MIGLIORAMENTO DELLA DINAMICA D’ALVEO TORRENTE DEL FOSSATONE IN LOC. CASA MONTIERI - CO</w:t>
      </w:r>
      <w:r>
        <w:rPr>
          <w:rFonts w:ascii="Garamond" w:hAnsi="Garamond" w:cs="Garamond"/>
        </w:rPr>
        <w:t xml:space="preserve">MUNE DI CASTIGLIONE D’ORCIA” </w:t>
      </w:r>
      <w:r w:rsidRPr="005D40E0">
        <w:rPr>
          <w:rFonts w:ascii="Garamond" w:hAnsi="Garamond" w:cs="Garamond"/>
        </w:rPr>
        <w:t>dell’importo di € 7</w:t>
      </w:r>
      <w:r>
        <w:rPr>
          <w:rFonts w:ascii="Garamond" w:hAnsi="Garamond" w:cs="Garamond"/>
        </w:rPr>
        <w:t>2</w:t>
      </w:r>
      <w:r w:rsidRPr="005D40E0">
        <w:rPr>
          <w:rFonts w:ascii="Garamond" w:hAnsi="Garamond" w:cs="Garamond"/>
        </w:rPr>
        <w:t>0.000,00 in data 05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02</w:t>
      </w:r>
      <w:r>
        <w:rPr>
          <w:rFonts w:ascii="Garamond" w:hAnsi="Garamond" w:cs="Garamond"/>
        </w:rPr>
        <w:t>/</w:t>
      </w:r>
      <w:r w:rsidRPr="005D40E0">
        <w:rPr>
          <w:rFonts w:ascii="Garamond" w:hAnsi="Garamond" w:cs="Garamond"/>
        </w:rPr>
        <w:t>2016 composto dai seguenti elaborati:</w:t>
      </w:r>
    </w:p>
    <w:p w:rsidR="004C5C25" w:rsidRPr="005D40E0" w:rsidRDefault="004C5C25" w:rsidP="0091655E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sz w:val="10"/>
          <w:szCs w:val="10"/>
        </w:rPr>
      </w:pPr>
    </w:p>
    <w:tbl>
      <w:tblPr>
        <w:tblW w:w="0" w:type="auto"/>
        <w:tblInd w:w="362" w:type="dxa"/>
        <w:tblLook w:val="00A0"/>
      </w:tblPr>
      <w:tblGrid>
        <w:gridCol w:w="347"/>
        <w:gridCol w:w="360"/>
        <w:gridCol w:w="9531"/>
      </w:tblGrid>
      <w:tr w:rsidR="004C5C25" w:rsidRPr="005D40E0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A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RELAZIONE ILLUSTRATIVA;</w:t>
            </w:r>
          </w:p>
        </w:tc>
      </w:tr>
      <w:tr w:rsidR="004C5C25" w:rsidRPr="005D40E0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ELABORATI GRAFICI: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E.1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F062B1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- 1:50.000;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E.2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F062B1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- 1:25.000;</w:t>
            </w:r>
            <w:bookmarkStart w:id="0" w:name="_GoBack"/>
            <w:bookmarkEnd w:id="0"/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E.3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BF3886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individuazione intervento - 1:10.000;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E.4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BF3886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Corografia generale intervento con posizionamento briglie - 1:1.000;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E.5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F062B1">
            <w:pPr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Profilo planimetria e sezioni;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E.6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42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Documentazione fotografica;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F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PRIME INDICAZIONI E MISURE FINALIZZATE ALLA TUTELA DELLA SALUTE E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SICUREZZA DEI LUOGHI DI LAVORO PER LA STESURA DEI PIANI DI SICUREZZA;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G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CALCOLO SOMMARIO DELLA SPESA;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H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QUADRO ECONOMICO DI PROGETTO;</w:t>
            </w:r>
          </w:p>
        </w:tc>
      </w:tr>
      <w:tr w:rsidR="004C5C25" w:rsidRPr="0045320F" w:rsidTr="00594365">
        <w:trPr>
          <w:trHeight w:val="255"/>
        </w:trPr>
        <w:tc>
          <w:tcPr>
            <w:tcW w:w="329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-123" w:right="-42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I</w:t>
            </w:r>
          </w:p>
        </w:tc>
        <w:tc>
          <w:tcPr>
            <w:tcW w:w="360" w:type="dxa"/>
            <w:noWrap/>
          </w:tcPr>
          <w:p w:rsidR="004C5C25" w:rsidRPr="00400B48" w:rsidRDefault="004C5C25" w:rsidP="00594365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right="-83"/>
              <w:jc w:val="center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-</w:t>
            </w:r>
          </w:p>
        </w:tc>
        <w:tc>
          <w:tcPr>
            <w:tcW w:w="9540" w:type="dxa"/>
            <w:noWrap/>
          </w:tcPr>
          <w:p w:rsidR="004C5C25" w:rsidRPr="00400B48" w:rsidRDefault="004C5C25" w:rsidP="00400B48">
            <w:pPr>
              <w:tabs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3"/>
              <w:rPr>
                <w:rFonts w:ascii="Garamond" w:hAnsi="Garamond" w:cs="Garamond"/>
              </w:rPr>
            </w:pPr>
            <w:r w:rsidRPr="00400B48">
              <w:rPr>
                <w:rFonts w:ascii="Garamond" w:hAnsi="Garamond" w:cs="Garamond"/>
              </w:rPr>
              <w:t>VERIFICA PROGETTO PRELIMINARE.</w:t>
            </w:r>
          </w:p>
        </w:tc>
      </w:tr>
    </w:tbl>
    <w:p w:rsidR="004C5C25" w:rsidRPr="00633942" w:rsidRDefault="004C5C25" w:rsidP="004323A6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4C5C25" w:rsidRPr="00C249F5" w:rsidRDefault="004C5C25" w:rsidP="00633942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4C5C25" w:rsidRPr="00E206C7" w:rsidRDefault="004C5C25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4C5C25" w:rsidRDefault="004C5C25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4C5C25" w:rsidRDefault="004C5C25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4C5C25" w:rsidRPr="00833C7F">
        <w:trPr>
          <w:trHeight w:val="715"/>
        </w:trPr>
        <w:tc>
          <w:tcPr>
            <w:tcW w:w="5000" w:type="pct"/>
          </w:tcPr>
          <w:p w:rsidR="004C5C25" w:rsidRPr="00833C7F" w:rsidRDefault="004C5C25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4C5C25" w:rsidRDefault="004C5C2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4C5C25" w:rsidRPr="00833C7F" w:rsidRDefault="004C5C25" w:rsidP="003C2A34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4C5C25" w:rsidRDefault="004C5C25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4C5C25" w:rsidRDefault="004C5C25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C5C25" w:rsidTr="00594365">
        <w:trPr>
          <w:trHeight w:val="1800"/>
        </w:trPr>
        <w:tc>
          <w:tcPr>
            <w:tcW w:w="10080" w:type="dxa"/>
          </w:tcPr>
          <w:p w:rsidR="004C5C25" w:rsidRPr="00012C84" w:rsidRDefault="004C5C2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4C5C25" w:rsidRDefault="004C5C2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affisso all’Albo pretorio del Consorzio a partire dal 09/02/2016, ai fini di pubblicità e conoscenza.</w:t>
            </w:r>
          </w:p>
          <w:p w:rsidR="004C5C25" w:rsidRDefault="004C5C2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4C5C25" w:rsidRDefault="004C5C25" w:rsidP="003C2A3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4C5C25" w:rsidRDefault="004C5C25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4C5C25" w:rsidRDefault="004C5C25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4C5C25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25" w:rsidRDefault="004C5C25" w:rsidP="00372E6B">
      <w:pPr>
        <w:spacing w:after="0" w:line="240" w:lineRule="auto"/>
      </w:pPr>
      <w:r>
        <w:separator/>
      </w:r>
    </w:p>
  </w:endnote>
  <w:endnote w:type="continuationSeparator" w:id="0">
    <w:p w:rsidR="004C5C25" w:rsidRDefault="004C5C25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25" w:rsidRDefault="004C5C25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4C5C25" w:rsidRDefault="004C5C25" w:rsidP="00372E6B">
    <w:pPr>
      <w:pStyle w:val="Footer"/>
    </w:pPr>
    <w:r>
      <w:t xml:space="preserve">                                  </w:t>
    </w: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6" type="#_x0000_t75" style="width:72.75pt;height:31.5pt;visibility:visible">
          <v:imagedata r:id="rId1" o:title=""/>
        </v:shape>
      </w:pict>
    </w:r>
  </w:p>
  <w:p w:rsidR="004C5C25" w:rsidRPr="00372E6B" w:rsidRDefault="004C5C25" w:rsidP="00372E6B">
    <w:pPr>
      <w:pStyle w:val="Footer"/>
    </w:pPr>
    <w:r>
      <w:rPr>
        <w:noProof/>
        <w:lang w:eastAsia="it-IT"/>
      </w:rPr>
      <w:pict>
        <v:shape id="Immagine 2" o:spid="_x0000_s2050" type="#_x0000_t75" style="position:absolute;margin-left:-4.1pt;margin-top:-32.7pt;width:55.7pt;height:26.5pt;z-index:251661312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25" w:rsidRDefault="004C5C25" w:rsidP="00372E6B">
      <w:pPr>
        <w:spacing w:after="0" w:line="240" w:lineRule="auto"/>
      </w:pPr>
      <w:r>
        <w:separator/>
      </w:r>
    </w:p>
  </w:footnote>
  <w:footnote w:type="continuationSeparator" w:id="0">
    <w:p w:rsidR="004C5C25" w:rsidRDefault="004C5C25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173ED"/>
    <w:rsid w:val="00030B11"/>
    <w:rsid w:val="00030F5E"/>
    <w:rsid w:val="00035A3B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3D96"/>
    <w:rsid w:val="000C41BC"/>
    <w:rsid w:val="000D3387"/>
    <w:rsid w:val="000D585D"/>
    <w:rsid w:val="000D5EA9"/>
    <w:rsid w:val="000D7095"/>
    <w:rsid w:val="000E4CC5"/>
    <w:rsid w:val="000E5D53"/>
    <w:rsid w:val="000F0CD3"/>
    <w:rsid w:val="00100DEE"/>
    <w:rsid w:val="00126A15"/>
    <w:rsid w:val="00127EF6"/>
    <w:rsid w:val="00135861"/>
    <w:rsid w:val="00170C1D"/>
    <w:rsid w:val="00180EF6"/>
    <w:rsid w:val="00183370"/>
    <w:rsid w:val="001B57F8"/>
    <w:rsid w:val="001C43A3"/>
    <w:rsid w:val="001C4543"/>
    <w:rsid w:val="001D534B"/>
    <w:rsid w:val="001F035E"/>
    <w:rsid w:val="001F1395"/>
    <w:rsid w:val="001F5B27"/>
    <w:rsid w:val="00217FF6"/>
    <w:rsid w:val="00220D3C"/>
    <w:rsid w:val="00223C5B"/>
    <w:rsid w:val="00225E9E"/>
    <w:rsid w:val="002275DC"/>
    <w:rsid w:val="002466C7"/>
    <w:rsid w:val="00254388"/>
    <w:rsid w:val="002548CB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7452"/>
    <w:rsid w:val="003C22B9"/>
    <w:rsid w:val="003C2A34"/>
    <w:rsid w:val="003C6E00"/>
    <w:rsid w:val="003D6BF1"/>
    <w:rsid w:val="003E0354"/>
    <w:rsid w:val="003E37F1"/>
    <w:rsid w:val="003F07AB"/>
    <w:rsid w:val="003F351A"/>
    <w:rsid w:val="00400B48"/>
    <w:rsid w:val="004075F8"/>
    <w:rsid w:val="0041630F"/>
    <w:rsid w:val="00417DDB"/>
    <w:rsid w:val="004314E4"/>
    <w:rsid w:val="00431968"/>
    <w:rsid w:val="004321A1"/>
    <w:rsid w:val="004323A6"/>
    <w:rsid w:val="00441347"/>
    <w:rsid w:val="00441F91"/>
    <w:rsid w:val="0045320F"/>
    <w:rsid w:val="004624D6"/>
    <w:rsid w:val="00464AD0"/>
    <w:rsid w:val="00465063"/>
    <w:rsid w:val="00471D8C"/>
    <w:rsid w:val="00472A1E"/>
    <w:rsid w:val="004843D1"/>
    <w:rsid w:val="004936DE"/>
    <w:rsid w:val="004972E0"/>
    <w:rsid w:val="004C5C25"/>
    <w:rsid w:val="004D3280"/>
    <w:rsid w:val="004D3C3C"/>
    <w:rsid w:val="004D59E5"/>
    <w:rsid w:val="004E38CA"/>
    <w:rsid w:val="004F5960"/>
    <w:rsid w:val="0050362F"/>
    <w:rsid w:val="005103A0"/>
    <w:rsid w:val="00513FD1"/>
    <w:rsid w:val="00516AA0"/>
    <w:rsid w:val="00520B69"/>
    <w:rsid w:val="00526590"/>
    <w:rsid w:val="00527724"/>
    <w:rsid w:val="005404C8"/>
    <w:rsid w:val="0055622F"/>
    <w:rsid w:val="0055737B"/>
    <w:rsid w:val="005600C8"/>
    <w:rsid w:val="00561A6D"/>
    <w:rsid w:val="005643DB"/>
    <w:rsid w:val="00565F88"/>
    <w:rsid w:val="00567F25"/>
    <w:rsid w:val="0057219C"/>
    <w:rsid w:val="00577FBF"/>
    <w:rsid w:val="005812B5"/>
    <w:rsid w:val="00583366"/>
    <w:rsid w:val="00591621"/>
    <w:rsid w:val="00594365"/>
    <w:rsid w:val="00595FFD"/>
    <w:rsid w:val="005976EC"/>
    <w:rsid w:val="005A1923"/>
    <w:rsid w:val="005A3574"/>
    <w:rsid w:val="005A4360"/>
    <w:rsid w:val="005A4822"/>
    <w:rsid w:val="005A6072"/>
    <w:rsid w:val="005A73D1"/>
    <w:rsid w:val="005B6AA2"/>
    <w:rsid w:val="005C7615"/>
    <w:rsid w:val="005D2814"/>
    <w:rsid w:val="005D40E0"/>
    <w:rsid w:val="005E4C2B"/>
    <w:rsid w:val="005F33D1"/>
    <w:rsid w:val="005F6760"/>
    <w:rsid w:val="00607231"/>
    <w:rsid w:val="00614D55"/>
    <w:rsid w:val="0062562A"/>
    <w:rsid w:val="00625B72"/>
    <w:rsid w:val="00626FEC"/>
    <w:rsid w:val="00633942"/>
    <w:rsid w:val="00641327"/>
    <w:rsid w:val="00653D85"/>
    <w:rsid w:val="0065515A"/>
    <w:rsid w:val="00667BD8"/>
    <w:rsid w:val="006A0C8D"/>
    <w:rsid w:val="006A3B05"/>
    <w:rsid w:val="006A6C46"/>
    <w:rsid w:val="006B1FE5"/>
    <w:rsid w:val="006B6A10"/>
    <w:rsid w:val="006B758D"/>
    <w:rsid w:val="006D10A5"/>
    <w:rsid w:val="006D4FA8"/>
    <w:rsid w:val="006E744E"/>
    <w:rsid w:val="006F2786"/>
    <w:rsid w:val="006F6BFD"/>
    <w:rsid w:val="006F6EA1"/>
    <w:rsid w:val="00710456"/>
    <w:rsid w:val="00716D2B"/>
    <w:rsid w:val="0072296F"/>
    <w:rsid w:val="00725BE8"/>
    <w:rsid w:val="00730C8F"/>
    <w:rsid w:val="00736287"/>
    <w:rsid w:val="007379E3"/>
    <w:rsid w:val="00743C2C"/>
    <w:rsid w:val="00744FF5"/>
    <w:rsid w:val="00750F52"/>
    <w:rsid w:val="00751518"/>
    <w:rsid w:val="00751C0C"/>
    <w:rsid w:val="00751E0D"/>
    <w:rsid w:val="00751EF5"/>
    <w:rsid w:val="007521ED"/>
    <w:rsid w:val="00763C10"/>
    <w:rsid w:val="00764506"/>
    <w:rsid w:val="00764D1B"/>
    <w:rsid w:val="00766E93"/>
    <w:rsid w:val="007715E5"/>
    <w:rsid w:val="0078650A"/>
    <w:rsid w:val="00790DFE"/>
    <w:rsid w:val="00791375"/>
    <w:rsid w:val="007928CD"/>
    <w:rsid w:val="007A49AC"/>
    <w:rsid w:val="007A5A86"/>
    <w:rsid w:val="007A6184"/>
    <w:rsid w:val="007A6C41"/>
    <w:rsid w:val="007B0A3A"/>
    <w:rsid w:val="007B1D28"/>
    <w:rsid w:val="007B55F1"/>
    <w:rsid w:val="007C5FEF"/>
    <w:rsid w:val="007D154E"/>
    <w:rsid w:val="007D1FE2"/>
    <w:rsid w:val="007D58BD"/>
    <w:rsid w:val="007F0292"/>
    <w:rsid w:val="007F283E"/>
    <w:rsid w:val="007F2D11"/>
    <w:rsid w:val="00806132"/>
    <w:rsid w:val="00814E4E"/>
    <w:rsid w:val="00815F70"/>
    <w:rsid w:val="008175F6"/>
    <w:rsid w:val="00825B28"/>
    <w:rsid w:val="00830F44"/>
    <w:rsid w:val="00833C7F"/>
    <w:rsid w:val="00834305"/>
    <w:rsid w:val="0084036E"/>
    <w:rsid w:val="00851019"/>
    <w:rsid w:val="0086577E"/>
    <w:rsid w:val="0087125C"/>
    <w:rsid w:val="00884EE5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1655E"/>
    <w:rsid w:val="00924637"/>
    <w:rsid w:val="009252E1"/>
    <w:rsid w:val="00932DB7"/>
    <w:rsid w:val="0095737E"/>
    <w:rsid w:val="00957BAA"/>
    <w:rsid w:val="00961A5A"/>
    <w:rsid w:val="00976119"/>
    <w:rsid w:val="00976CD3"/>
    <w:rsid w:val="00981300"/>
    <w:rsid w:val="0098138A"/>
    <w:rsid w:val="00987655"/>
    <w:rsid w:val="00990581"/>
    <w:rsid w:val="00993DF8"/>
    <w:rsid w:val="009B0480"/>
    <w:rsid w:val="009B3C24"/>
    <w:rsid w:val="009B5561"/>
    <w:rsid w:val="009B653B"/>
    <w:rsid w:val="009C2342"/>
    <w:rsid w:val="009C3EFF"/>
    <w:rsid w:val="009C478E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11C22"/>
    <w:rsid w:val="00A2696A"/>
    <w:rsid w:val="00A36BB7"/>
    <w:rsid w:val="00A44B8E"/>
    <w:rsid w:val="00A63AAD"/>
    <w:rsid w:val="00A64E43"/>
    <w:rsid w:val="00A712FA"/>
    <w:rsid w:val="00A74BDA"/>
    <w:rsid w:val="00A75668"/>
    <w:rsid w:val="00A84C95"/>
    <w:rsid w:val="00A93A23"/>
    <w:rsid w:val="00AA0398"/>
    <w:rsid w:val="00AA586F"/>
    <w:rsid w:val="00AB17C5"/>
    <w:rsid w:val="00AB422D"/>
    <w:rsid w:val="00AC710E"/>
    <w:rsid w:val="00AD318E"/>
    <w:rsid w:val="00AD600C"/>
    <w:rsid w:val="00AE0C35"/>
    <w:rsid w:val="00AE12F9"/>
    <w:rsid w:val="00AE35FF"/>
    <w:rsid w:val="00AE5075"/>
    <w:rsid w:val="00AE62EB"/>
    <w:rsid w:val="00AE6F27"/>
    <w:rsid w:val="00AE7302"/>
    <w:rsid w:val="00AF2E8B"/>
    <w:rsid w:val="00AF5819"/>
    <w:rsid w:val="00B02CE6"/>
    <w:rsid w:val="00B262FD"/>
    <w:rsid w:val="00B30513"/>
    <w:rsid w:val="00B3271D"/>
    <w:rsid w:val="00B4724B"/>
    <w:rsid w:val="00B51210"/>
    <w:rsid w:val="00B57354"/>
    <w:rsid w:val="00B6245D"/>
    <w:rsid w:val="00B75392"/>
    <w:rsid w:val="00B7629A"/>
    <w:rsid w:val="00B9152D"/>
    <w:rsid w:val="00BA5A21"/>
    <w:rsid w:val="00BA73B1"/>
    <w:rsid w:val="00BB389D"/>
    <w:rsid w:val="00BB767E"/>
    <w:rsid w:val="00BC25F4"/>
    <w:rsid w:val="00BD2D80"/>
    <w:rsid w:val="00BF3886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156C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4611"/>
    <w:rsid w:val="00D00679"/>
    <w:rsid w:val="00D05CE3"/>
    <w:rsid w:val="00D21A0B"/>
    <w:rsid w:val="00D21AD7"/>
    <w:rsid w:val="00D24A90"/>
    <w:rsid w:val="00D324C6"/>
    <w:rsid w:val="00D3259E"/>
    <w:rsid w:val="00D3390A"/>
    <w:rsid w:val="00D33F1D"/>
    <w:rsid w:val="00D41B76"/>
    <w:rsid w:val="00D546E7"/>
    <w:rsid w:val="00D55A88"/>
    <w:rsid w:val="00D71F14"/>
    <w:rsid w:val="00D7466F"/>
    <w:rsid w:val="00D84D7D"/>
    <w:rsid w:val="00D873D7"/>
    <w:rsid w:val="00D95B46"/>
    <w:rsid w:val="00DA15F9"/>
    <w:rsid w:val="00DA4536"/>
    <w:rsid w:val="00DA584E"/>
    <w:rsid w:val="00DA72A9"/>
    <w:rsid w:val="00DB05CC"/>
    <w:rsid w:val="00DB2201"/>
    <w:rsid w:val="00DD1B54"/>
    <w:rsid w:val="00DD3071"/>
    <w:rsid w:val="00DD6DEB"/>
    <w:rsid w:val="00DF3EDA"/>
    <w:rsid w:val="00E037B6"/>
    <w:rsid w:val="00E06222"/>
    <w:rsid w:val="00E078B0"/>
    <w:rsid w:val="00E206C7"/>
    <w:rsid w:val="00E26666"/>
    <w:rsid w:val="00E343FD"/>
    <w:rsid w:val="00E40B59"/>
    <w:rsid w:val="00E43073"/>
    <w:rsid w:val="00E550F4"/>
    <w:rsid w:val="00E56285"/>
    <w:rsid w:val="00E61F8A"/>
    <w:rsid w:val="00E66EC6"/>
    <w:rsid w:val="00E71F40"/>
    <w:rsid w:val="00E741F8"/>
    <w:rsid w:val="00E7507E"/>
    <w:rsid w:val="00E77936"/>
    <w:rsid w:val="00E8002C"/>
    <w:rsid w:val="00E84ACD"/>
    <w:rsid w:val="00EA0416"/>
    <w:rsid w:val="00EA3B62"/>
    <w:rsid w:val="00EB5B77"/>
    <w:rsid w:val="00EC59D2"/>
    <w:rsid w:val="00ED50B2"/>
    <w:rsid w:val="00ED6075"/>
    <w:rsid w:val="00F03607"/>
    <w:rsid w:val="00F062B1"/>
    <w:rsid w:val="00F11040"/>
    <w:rsid w:val="00F17986"/>
    <w:rsid w:val="00F17F93"/>
    <w:rsid w:val="00F25011"/>
    <w:rsid w:val="00F2654D"/>
    <w:rsid w:val="00F43106"/>
    <w:rsid w:val="00F46338"/>
    <w:rsid w:val="00F5327E"/>
    <w:rsid w:val="00F57807"/>
    <w:rsid w:val="00F615D0"/>
    <w:rsid w:val="00F6481C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5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table" w:styleId="TableGrid">
    <w:name w:val="Table Grid"/>
    <w:basedOn w:val="TableNormal"/>
    <w:uiPriority w:val="99"/>
    <w:locked/>
    <w:rsid w:val="009165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5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342</TotalTime>
  <Pages>4</Pages>
  <Words>1257</Words>
  <Characters>7168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37</cp:revision>
  <cp:lastPrinted>2016-01-27T16:45:00Z</cp:lastPrinted>
  <dcterms:created xsi:type="dcterms:W3CDTF">2016-01-27T10:04:00Z</dcterms:created>
  <dcterms:modified xsi:type="dcterms:W3CDTF">2016-02-09T10:12:00Z</dcterms:modified>
</cp:coreProperties>
</file>