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231A86" w:rsidRDefault="00392EF7" w:rsidP="00231A86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pict>
          <v:line id="Line 34" o:spid="_x0000_s1027" style="position:absolute;left:0;text-align:left;z-index:251665920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231A86">
        <w:rPr>
          <w:rFonts w:ascii="Arial" w:hAnsi="Arial" w:cs="Arial"/>
          <w:b/>
          <w:bCs/>
          <w:sz w:val="26"/>
          <w:szCs w:val="26"/>
        </w:rPr>
        <w:t xml:space="preserve">  </w:t>
      </w:r>
      <w:r w:rsidR="00231A86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42335A" w:rsidRPr="0042335A">
        <w:rPr>
          <w:rFonts w:ascii="Arial" w:hAnsi="Arial" w:cs="Arial"/>
          <w:b/>
          <w:bCs/>
          <w:sz w:val="26"/>
          <w:szCs w:val="26"/>
          <w:u w:val="double"/>
        </w:rPr>
        <w:t>214</w:t>
      </w:r>
      <w:r w:rsidR="00231A86" w:rsidRPr="0042335A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231A86">
        <w:rPr>
          <w:rFonts w:ascii="Arial" w:hAnsi="Arial" w:cs="Arial"/>
          <w:b/>
          <w:bCs/>
          <w:sz w:val="26"/>
          <w:szCs w:val="26"/>
          <w:u w:val="double"/>
        </w:rPr>
        <w:t>DEL 18 DICEMBRE 2014</w:t>
      </w:r>
    </w:p>
    <w:p w:rsidR="00231A86" w:rsidRDefault="00231A86" w:rsidP="00231A86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L’anno duemilaquattordici il giorno 18 del mese di Dicembre alle ore </w:t>
      </w:r>
      <w:r w:rsidR="00E112C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="00700291">
        <w:rPr>
          <w:rFonts w:ascii="Arial" w:hAnsi="Arial" w:cs="Arial"/>
          <w:sz w:val="22"/>
          <w:szCs w:val="22"/>
        </w:rPr>
        <w:t>1</w:t>
      </w:r>
      <w:r w:rsidR="00164B21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presso la sede del Consorzio in Grosseto, viale </w:t>
      </w:r>
      <w:proofErr w:type="spellStart"/>
      <w:r>
        <w:rPr>
          <w:rFonts w:ascii="Arial" w:hAnsi="Arial" w:cs="Arial"/>
          <w:sz w:val="22"/>
          <w:szCs w:val="22"/>
        </w:rPr>
        <w:t>Ximenes</w:t>
      </w:r>
      <w:proofErr w:type="spellEnd"/>
      <w:r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0D1D8A" w:rsidRDefault="009947F4" w:rsidP="000D1D8A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seguente </w:t>
      </w:r>
      <w:r w:rsidR="00834AE3">
        <w:rPr>
          <w:rFonts w:ascii="Arial" w:hAnsi="Arial" w:cs="Arial"/>
          <w:sz w:val="22"/>
          <w:szCs w:val="22"/>
        </w:rPr>
        <w:t xml:space="preserve">piano </w:t>
      </w:r>
      <w:r>
        <w:rPr>
          <w:rFonts w:ascii="Arial" w:hAnsi="Arial" w:cs="Arial"/>
          <w:sz w:val="22"/>
          <w:szCs w:val="22"/>
        </w:rPr>
        <w:t>degli interventi</w:t>
      </w:r>
      <w:r w:rsidR="000D1D8A" w:rsidRPr="000D1D8A">
        <w:rPr>
          <w:rFonts w:ascii="Arial" w:hAnsi="Arial" w:cs="Arial"/>
          <w:sz w:val="22"/>
          <w:szCs w:val="22"/>
        </w:rPr>
        <w:t>:</w:t>
      </w:r>
    </w:p>
    <w:tbl>
      <w:tblPr>
        <w:tblW w:w="10155" w:type="dxa"/>
        <w:tblInd w:w="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75"/>
        <w:gridCol w:w="1510"/>
        <w:gridCol w:w="1777"/>
        <w:gridCol w:w="1391"/>
        <w:gridCol w:w="3402"/>
      </w:tblGrid>
      <w:tr w:rsidR="009947F4" w:rsidTr="00A72BA3">
        <w:trPr>
          <w:cantSplit/>
          <w:trHeight w:val="25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PRIORITA MISURA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COD. AZIONE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AZIONE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IMPORTO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jc w:val="center"/>
            </w:pPr>
            <w:r>
              <w:rPr>
                <w:rFonts w:ascii="Arial" w:hAnsi="Arial" w:cs="Arial"/>
                <w:b/>
                <w:bCs/>
                <w:szCs w:val="24"/>
              </w:rPr>
              <w:t>DESCRIZIONE INTERVENTO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141BFE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1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€ 53.680.00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Default="009947F4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N°32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SISTEMAZIONE DI VERSANTE  MEDIANTE INTERVENTI DI INGEGNERIA NATURALISTICA A MONTE DEL COLLETTORE IN LOC. PETRICCI ED OPERE COMPLEMENTARI - COMUNE DI SEMPRONIANO.</w:t>
            </w:r>
          </w:p>
        </w:tc>
      </w:tr>
      <w:tr w:rsidR="00141BFE" w:rsidTr="00A72BA3">
        <w:trPr>
          <w:cantSplit/>
          <w:trHeight w:val="10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1977B5" w:rsidRDefault="00141BFE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231A8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2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color w:val="000000"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bCs/>
                <w:color w:val="000000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b.II.1</w:t>
            </w:r>
          </w:p>
          <w:p w:rsidR="00141BFE" w:rsidRPr="00301A0E" w:rsidRDefault="00141BFE" w:rsidP="008A513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Pr="00301A0E" w:rsidRDefault="00141BFE" w:rsidP="008A5136">
            <w:pPr>
              <w:jc w:val="center"/>
              <w:rPr>
                <w:rFonts w:ascii="Arial" w:hAnsi="Arial" w:cs="Arial"/>
                <w:b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- Recupero e consolidamento di versanti dissestati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€ 134.200,00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FE" w:rsidRDefault="00141BFE" w:rsidP="008A5136">
            <w:pPr>
              <w:autoSpaceDE w:val="0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N°31 -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FONDI DI RISERVA PSR 2007-2013 MIS.226 - LAVORI DI RIPRISTINO DI UNA BRIGLIA PASSANTE SUL TORRENTE CAESE ED OPERE COMPLEMENTARI - COMUNE DI SEMPRONIANO.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231A8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3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viabilità di servizio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€ 161.040,00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834AE3" w:rsidRDefault="009947F4" w:rsidP="008A5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N°33 -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DI UNA BRIGLIA PASSANTE SUL TORRENTE ZOLFERATE ED OPERE COMPLEMENTARI IN LOC. MULI- COMUNE DI ROCCALBEGNA.</w:t>
            </w:r>
          </w:p>
        </w:tc>
      </w:tr>
      <w:tr w:rsidR="009947F4" w:rsidTr="00A72BA3">
        <w:trPr>
          <w:cantSplit/>
          <w:trHeight w:val="1158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1977B5" w:rsidRDefault="009947F4" w:rsidP="008A5136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</w:pPr>
            <w:r w:rsidRPr="001977B5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 xml:space="preserve">Priorità </w:t>
            </w:r>
            <w:r w:rsidR="00231A86">
              <w:rPr>
                <w:rFonts w:ascii="Arial" w:hAnsi="Arial" w:cs="Arial"/>
                <w:bCs/>
                <w:color w:val="FF0000"/>
                <w:sz w:val="22"/>
                <w:szCs w:val="22"/>
                <w:u w:val="single"/>
              </w:rPr>
              <w:t>4</w:t>
            </w:r>
          </w:p>
          <w:p w:rsidR="009947F4" w:rsidRPr="00301A0E" w:rsidRDefault="009947F4" w:rsidP="008A5136">
            <w:pPr>
              <w:jc w:val="center"/>
              <w:rPr>
                <w:rFonts w:ascii="Arial" w:hAnsi="Arial" w:cs="Arial"/>
                <w:color w:val="000000"/>
              </w:rPr>
            </w:pPr>
            <w:r w:rsidRPr="00301A0E">
              <w:rPr>
                <w:rFonts w:ascii="Arial" w:hAnsi="Arial" w:cs="Arial"/>
                <w:bCs/>
                <w:sz w:val="16"/>
                <w:szCs w:val="16"/>
              </w:rPr>
              <w:t>FONDO DI RISERVA ANNUALIT</w:t>
            </w:r>
            <w:r w:rsidRPr="00301A0E">
              <w:rPr>
                <w:rFonts w:ascii="Arial" w:hAnsi="Arial" w:cs="Arial" w:hint="eastAsia"/>
                <w:bCs/>
                <w:sz w:val="16"/>
                <w:szCs w:val="16"/>
              </w:rPr>
              <w:t>À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 2013</w:t>
            </w:r>
            <w:r w:rsidRPr="00301A0E">
              <w:rPr>
                <w:rFonts w:ascii="Arial" w:eastAsia="80000004-Identity-H" w:hAnsi="Arial" w:cs="Arial"/>
                <w:sz w:val="16"/>
                <w:szCs w:val="16"/>
              </w:rPr>
              <w:t xml:space="preserve"> MIS </w:t>
            </w:r>
            <w:r w:rsidRPr="00301A0E">
              <w:rPr>
                <w:rFonts w:ascii="Arial" w:hAnsi="Arial" w:cs="Arial"/>
                <w:bCs/>
                <w:sz w:val="16"/>
                <w:szCs w:val="16"/>
              </w:rPr>
              <w:t xml:space="preserve">226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jc w:val="center"/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b.II.2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01A0E" w:rsidRDefault="009947F4" w:rsidP="008A5136">
            <w:pPr>
              <w:rPr>
                <w:rFonts w:ascii="Arial" w:hAnsi="Arial" w:cs="Arial"/>
              </w:rPr>
            </w:pPr>
            <w:r w:rsidRPr="00301A0E">
              <w:rPr>
                <w:rFonts w:ascii="Arial" w:hAnsi="Arial" w:cs="Arial"/>
              </w:rPr>
              <w:t>Ricostituzione di soprassuoli danneggiati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E9742A" w:rsidRDefault="009947F4" w:rsidP="008A513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1A0E">
              <w:rPr>
                <w:rFonts w:ascii="Arial" w:hAnsi="Arial" w:cs="Arial"/>
                <w:i/>
                <w:sz w:val="16"/>
                <w:szCs w:val="16"/>
              </w:rPr>
              <w:t>Ricostituzione di soprassuoli danneggiati da dissesti idrogeologici – Ripristino di sezioni idrauliche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€ 316.900,00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7F4" w:rsidRPr="003F71AA" w:rsidRDefault="009947F4" w:rsidP="008A5136">
            <w:pPr>
              <w:autoSpaceDE w:val="0"/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PERIZIA N°36 - </w:t>
            </w:r>
            <w:r w:rsidRPr="00834AE3">
              <w:rPr>
                <w:rFonts w:ascii="Arial" w:hAnsi="Arial" w:cs="Arial"/>
                <w:sz w:val="16"/>
                <w:szCs w:val="16"/>
              </w:rPr>
              <w:t>FONDO DI RISERVA PSR 2007-2013 MIS.226 - LAVORI DI RIPRISTINO DELLA SEZIONI IDRAULICHE E REALIZZAZIONE DI DIFESE SPONDALI SUL TORRENTE VIVO IN</w:t>
            </w:r>
            <w:r w:rsidRPr="00834A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01A0E">
              <w:rPr>
                <w:rFonts w:ascii="Arial" w:hAnsi="Arial" w:cs="Arial"/>
                <w:sz w:val="16"/>
                <w:szCs w:val="16"/>
              </w:rPr>
              <w:t>LOC. VAL D'ORCIA</w:t>
            </w:r>
            <w:r w:rsidRPr="00834AE3">
              <w:rPr>
                <w:rFonts w:ascii="Arial" w:hAnsi="Arial" w:cs="Arial"/>
                <w:sz w:val="16"/>
                <w:szCs w:val="16"/>
              </w:rPr>
              <w:t>- COMUNE DI SEGGIANO.</w:t>
            </w:r>
          </w:p>
        </w:tc>
      </w:tr>
    </w:tbl>
    <w:p w:rsidR="00834AE3" w:rsidRDefault="00834AE3" w:rsidP="0083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22D" w:rsidRDefault="009947F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>la base di quanto previsto dal Decreto della R.T.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>3</w:t>
      </w:r>
      <w:r w:rsidR="00B164E7">
        <w:rPr>
          <w:rFonts w:ascii="Arial" w:hAnsi="Arial" w:cs="Arial"/>
          <w:sz w:val="22"/>
          <w:szCs w:val="22"/>
        </w:rPr>
        <w:t>2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B164E7" w:rsidRPr="00B164E7">
        <w:rPr>
          <w:rFonts w:ascii="Arial" w:hAnsi="Arial" w:cs="Arial"/>
          <w:sz w:val="22"/>
          <w:szCs w:val="22"/>
        </w:rPr>
        <w:t>FONDO DI RISERVA PSR 2007-2013 MIS.226 - LAVORI DI SISTEMAZIONE DI VERSANTE  MEDIANTE INTERVENTI DI INGEGNERIA NATURALISTICA A MONTE DEL COLLETTORE IN LOC. PETRICCI ED OPERE COMPLEMENTARI - COMUNE DI SEMPRONIANO.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B164E7">
        <w:rPr>
          <w:rFonts w:ascii="Arial" w:hAnsi="Arial" w:cs="Arial"/>
          <w:sz w:val="22"/>
          <w:szCs w:val="22"/>
        </w:rPr>
        <w:t>53.680</w:t>
      </w:r>
      <w:r w:rsidR="0028622D">
        <w:rPr>
          <w:rFonts w:ascii="Arial" w:hAnsi="Arial" w:cs="Arial"/>
          <w:sz w:val="22"/>
          <w:szCs w:val="22"/>
        </w:rPr>
        <w:t>,00;</w:t>
      </w:r>
    </w:p>
    <w:p w:rsidR="00DE31EA" w:rsidRPr="00C4597A" w:rsidRDefault="00DE31EA" w:rsidP="001374A5">
      <w:pPr>
        <w:numPr>
          <w:ilvl w:val="0"/>
          <w:numId w:val="18"/>
        </w:num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97A">
        <w:rPr>
          <w:rFonts w:ascii="Arial" w:hAnsi="Arial" w:cs="Arial"/>
          <w:sz w:val="22"/>
          <w:szCs w:val="22"/>
        </w:rPr>
        <w:t>Preso atto del parere favorevole del Revisore Unico dei conti;</w:t>
      </w:r>
    </w:p>
    <w:p w:rsidR="00DE31EA" w:rsidRPr="00B53FC8" w:rsidRDefault="00DE31EA" w:rsidP="00DE31EA">
      <w:pPr>
        <w:pStyle w:val="Corpodeltesto2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Pr="00B53FC8">
        <w:rPr>
          <w:rFonts w:ascii="Arial" w:hAnsi="Arial" w:cs="Arial"/>
          <w:sz w:val="22"/>
          <w:szCs w:val="22"/>
        </w:rPr>
        <w:t xml:space="preserve"> - amministrativ</w:t>
      </w:r>
      <w:r>
        <w:rPr>
          <w:rFonts w:ascii="Arial" w:hAnsi="Arial" w:cs="Arial"/>
          <w:sz w:val="22"/>
          <w:szCs w:val="22"/>
        </w:rPr>
        <w:t>o</w:t>
      </w:r>
      <w:r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DE31EA" w:rsidRPr="00C4597A" w:rsidRDefault="00DE31EA" w:rsidP="00DE31E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97A">
        <w:rPr>
          <w:rFonts w:ascii="Arial" w:hAnsi="Arial" w:cs="Arial"/>
          <w:sz w:val="22"/>
          <w:szCs w:val="22"/>
        </w:rPr>
        <w:t>Preso atto del parere favorevole dell’Ufficio di Presidenza;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Default="0028622D" w:rsidP="009134F3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in linea tecnica il Progetto</w:t>
      </w:r>
      <w:r w:rsidR="00141BFE">
        <w:rPr>
          <w:rFonts w:ascii="Arial" w:hAnsi="Arial" w:cs="Arial"/>
          <w:sz w:val="22"/>
          <w:szCs w:val="22"/>
        </w:rPr>
        <w:t xml:space="preserve"> Preliminare</w:t>
      </w:r>
      <w:r w:rsidRPr="0028622D">
        <w:rPr>
          <w:rFonts w:ascii="Arial" w:hAnsi="Arial" w:cs="Arial"/>
          <w:sz w:val="22"/>
          <w:szCs w:val="22"/>
        </w:rPr>
        <w:t xml:space="preserve"> denominato “PERIZIA n°0</w:t>
      </w:r>
      <w:r w:rsidR="00992956">
        <w:rPr>
          <w:rFonts w:ascii="Arial" w:hAnsi="Arial" w:cs="Arial"/>
          <w:sz w:val="22"/>
          <w:szCs w:val="22"/>
        </w:rPr>
        <w:t>3</w:t>
      </w:r>
      <w:r w:rsidR="00B164E7">
        <w:rPr>
          <w:rFonts w:ascii="Arial" w:hAnsi="Arial" w:cs="Arial"/>
          <w:sz w:val="22"/>
          <w:szCs w:val="22"/>
        </w:rPr>
        <w:t>2</w:t>
      </w:r>
      <w:r w:rsidRPr="0028622D">
        <w:rPr>
          <w:rFonts w:ascii="Arial" w:hAnsi="Arial" w:cs="Arial"/>
          <w:sz w:val="22"/>
          <w:szCs w:val="22"/>
        </w:rPr>
        <w:t xml:space="preserve">  – </w:t>
      </w:r>
      <w:r w:rsidR="00B164E7" w:rsidRPr="00B164E7">
        <w:rPr>
          <w:rFonts w:ascii="Arial" w:hAnsi="Arial" w:cs="Arial"/>
          <w:sz w:val="22"/>
          <w:szCs w:val="22"/>
        </w:rPr>
        <w:t>FONDO DI RISERVA PSR 2007-2013 MIS.226 - LAVORI DI SISTEMAZIONE DI VERSANTE  MEDIANTE INTERVENTI DI INGEGNERIA NATURALISTICA A MONTE DEL COLLETTORE IN LOC. PETRICCI ED OPERE COMPLEMENTARI - COMUNE DI SEMPRONIANO.</w:t>
      </w:r>
      <w:r w:rsidR="00B164E7" w:rsidRPr="00151D76">
        <w:rPr>
          <w:rFonts w:ascii="Arial" w:hAnsi="Arial" w:cs="Arial"/>
          <w:sz w:val="22"/>
          <w:szCs w:val="22"/>
        </w:rPr>
        <w:t>”</w:t>
      </w:r>
      <w:r w:rsidR="0042335A">
        <w:rPr>
          <w:rFonts w:ascii="Arial" w:hAnsi="Arial" w:cs="Arial"/>
          <w:sz w:val="22"/>
          <w:szCs w:val="22"/>
        </w:rPr>
        <w:t xml:space="preserve"> </w:t>
      </w:r>
      <w:r w:rsidR="00992956" w:rsidRPr="00151D76">
        <w:rPr>
          <w:rFonts w:ascii="Arial" w:hAnsi="Arial" w:cs="Arial"/>
          <w:sz w:val="22"/>
          <w:szCs w:val="22"/>
        </w:rPr>
        <w:t xml:space="preserve">dell’importo complessivo di Euro </w:t>
      </w:r>
      <w:r w:rsidR="00B164E7">
        <w:rPr>
          <w:rFonts w:ascii="Arial" w:hAnsi="Arial" w:cs="Arial"/>
          <w:sz w:val="22"/>
          <w:szCs w:val="22"/>
        </w:rPr>
        <w:t>53.680</w:t>
      </w:r>
      <w:r w:rsidR="00992956">
        <w:rPr>
          <w:rFonts w:ascii="Arial" w:hAnsi="Arial" w:cs="Arial"/>
          <w:sz w:val="22"/>
          <w:szCs w:val="22"/>
        </w:rPr>
        <w:t>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 w:rsidR="00992956">
        <w:rPr>
          <w:rFonts w:ascii="Arial" w:hAnsi="Arial" w:cs="Arial"/>
          <w:sz w:val="22"/>
          <w:szCs w:val="22"/>
        </w:rPr>
        <w:t>10/12</w:t>
      </w:r>
      <w:r w:rsidRPr="0028622D">
        <w:rPr>
          <w:rFonts w:ascii="Arial" w:hAnsi="Arial" w:cs="Arial"/>
          <w:sz w:val="22"/>
          <w:szCs w:val="22"/>
        </w:rPr>
        <w:t>/2014, costituito dai seguenti elaborati:</w:t>
      </w:r>
    </w:p>
    <w:p w:rsidR="003A7A72" w:rsidRDefault="005F274A" w:rsidP="005F274A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A</w:t>
      </w:r>
      <w:r w:rsidR="003A7A72">
        <w:rPr>
          <w:rFonts w:ascii="Arial" w:hAnsi="Arial" w:cs="Arial"/>
          <w:sz w:val="22"/>
          <w:szCs w:val="22"/>
        </w:rPr>
        <w:tab/>
        <w:t>-</w:t>
      </w:r>
      <w:r w:rsidR="003A7A72">
        <w:rPr>
          <w:rFonts w:ascii="Arial" w:hAnsi="Arial" w:cs="Arial"/>
          <w:sz w:val="22"/>
          <w:szCs w:val="22"/>
        </w:rPr>
        <w:tab/>
        <w:t>RELAZIONE GENERALE</w:t>
      </w:r>
    </w:p>
    <w:p w:rsidR="003A7A72" w:rsidRDefault="005F274A" w:rsidP="005F274A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E</w:t>
      </w:r>
      <w:r w:rsidR="003A7A72" w:rsidRPr="00C579E8">
        <w:rPr>
          <w:rFonts w:ascii="Arial" w:hAnsi="Arial" w:cs="Arial"/>
          <w:sz w:val="22"/>
          <w:szCs w:val="22"/>
        </w:rPr>
        <w:tab/>
        <w:t>-</w:t>
      </w:r>
      <w:r w:rsidR="003A7A72" w:rsidRPr="00C579E8"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ELABORATI GRAFICI:</w:t>
      </w:r>
    </w:p>
    <w:p w:rsidR="003A7A72" w:rsidRDefault="005F274A" w:rsidP="005F274A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 w:rsidRPr="00FD4359">
        <w:rPr>
          <w:rFonts w:ascii="Arial" w:hAnsi="Arial" w:cs="Arial"/>
          <w:sz w:val="22"/>
          <w:szCs w:val="22"/>
        </w:rPr>
        <w:t>E</w:t>
      </w:r>
      <w:r w:rsidR="003A7A72">
        <w:rPr>
          <w:rFonts w:ascii="Arial" w:hAnsi="Arial" w:cs="Arial"/>
          <w:sz w:val="22"/>
          <w:szCs w:val="22"/>
        </w:rPr>
        <w:t>.1</w:t>
      </w:r>
      <w:r w:rsidR="003A7A72" w:rsidRPr="00FD4359">
        <w:rPr>
          <w:rFonts w:ascii="Arial" w:hAnsi="Arial" w:cs="Arial"/>
          <w:sz w:val="22"/>
          <w:szCs w:val="22"/>
        </w:rPr>
        <w:tab/>
        <w:t>-</w:t>
      </w:r>
      <w:r w:rsidR="003A7A72" w:rsidRPr="00FD4359"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Corografia - 1:50.000</w:t>
      </w:r>
    </w:p>
    <w:p w:rsidR="003A7A72" w:rsidRDefault="005F274A" w:rsidP="005F274A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E.2</w:t>
      </w:r>
      <w:r w:rsidR="003A7A72">
        <w:rPr>
          <w:rFonts w:ascii="Arial" w:hAnsi="Arial" w:cs="Arial"/>
          <w:sz w:val="22"/>
          <w:szCs w:val="22"/>
        </w:rPr>
        <w:tab/>
      </w:r>
      <w:r w:rsidR="003A7A72" w:rsidRPr="004B15C6">
        <w:rPr>
          <w:rFonts w:ascii="Arial" w:hAnsi="Arial" w:cs="Arial"/>
          <w:sz w:val="22"/>
          <w:szCs w:val="22"/>
        </w:rPr>
        <w:t>-</w:t>
      </w:r>
      <w:r w:rsidR="003A7A72" w:rsidRPr="004B15C6">
        <w:rPr>
          <w:rFonts w:ascii="Arial" w:hAnsi="Arial" w:cs="Arial"/>
          <w:sz w:val="22"/>
          <w:szCs w:val="22"/>
        </w:rPr>
        <w:tab/>
        <w:t>Corografia - 1:</w:t>
      </w:r>
      <w:r w:rsidR="003A7A72">
        <w:rPr>
          <w:rFonts w:ascii="Arial" w:hAnsi="Arial" w:cs="Arial"/>
          <w:sz w:val="22"/>
          <w:szCs w:val="22"/>
        </w:rPr>
        <w:t>2</w:t>
      </w:r>
      <w:r w:rsidR="003A7A72" w:rsidRPr="004B15C6">
        <w:rPr>
          <w:rFonts w:ascii="Arial" w:hAnsi="Arial" w:cs="Arial"/>
          <w:sz w:val="22"/>
          <w:szCs w:val="22"/>
        </w:rPr>
        <w:t>5.000</w:t>
      </w:r>
    </w:p>
    <w:p w:rsidR="003A7A72" w:rsidRDefault="005F274A" w:rsidP="005F274A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E.</w:t>
      </w:r>
      <w:r w:rsidR="003A7A72">
        <w:rPr>
          <w:rFonts w:ascii="Arial" w:hAnsi="Arial" w:cs="Arial"/>
          <w:sz w:val="22"/>
          <w:szCs w:val="22"/>
        </w:rPr>
        <w:t>3</w:t>
      </w:r>
      <w:r w:rsidR="003A7A72">
        <w:rPr>
          <w:rFonts w:ascii="Arial" w:hAnsi="Arial" w:cs="Arial"/>
          <w:sz w:val="22"/>
          <w:szCs w:val="22"/>
        </w:rPr>
        <w:tab/>
      </w:r>
      <w:r w:rsidR="003A7A72" w:rsidRPr="004B15C6">
        <w:rPr>
          <w:rFonts w:ascii="Arial" w:hAnsi="Arial" w:cs="Arial"/>
          <w:sz w:val="22"/>
          <w:szCs w:val="22"/>
        </w:rPr>
        <w:t>-</w:t>
      </w:r>
      <w:r w:rsidR="003A7A72" w:rsidRPr="004B15C6"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Planimetria</w:t>
      </w:r>
      <w:r w:rsidR="003A7A72" w:rsidRPr="004B15C6">
        <w:rPr>
          <w:rFonts w:ascii="Arial" w:hAnsi="Arial" w:cs="Arial"/>
          <w:sz w:val="22"/>
          <w:szCs w:val="22"/>
        </w:rPr>
        <w:t xml:space="preserve"> - 1:</w:t>
      </w:r>
      <w:r w:rsidR="003A7A72">
        <w:rPr>
          <w:rFonts w:ascii="Arial" w:hAnsi="Arial" w:cs="Arial"/>
          <w:sz w:val="22"/>
          <w:szCs w:val="22"/>
        </w:rPr>
        <w:t>10</w:t>
      </w:r>
      <w:r w:rsidR="003A7A72" w:rsidRPr="004B15C6">
        <w:rPr>
          <w:rFonts w:ascii="Arial" w:hAnsi="Arial" w:cs="Arial"/>
          <w:sz w:val="22"/>
          <w:szCs w:val="22"/>
        </w:rPr>
        <w:t>.000</w:t>
      </w:r>
    </w:p>
    <w:p w:rsidR="003A7A72" w:rsidRDefault="005F274A" w:rsidP="005F274A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E.</w:t>
      </w:r>
      <w:r w:rsidR="003A7A72">
        <w:rPr>
          <w:rFonts w:ascii="Arial" w:hAnsi="Arial" w:cs="Arial"/>
          <w:sz w:val="22"/>
          <w:szCs w:val="22"/>
        </w:rPr>
        <w:t>4</w:t>
      </w:r>
      <w:r w:rsidR="003A7A72">
        <w:rPr>
          <w:rFonts w:ascii="Arial" w:hAnsi="Arial" w:cs="Arial"/>
          <w:sz w:val="22"/>
          <w:szCs w:val="22"/>
        </w:rPr>
        <w:tab/>
      </w:r>
      <w:r w:rsidR="003A7A72" w:rsidRPr="004B15C6">
        <w:rPr>
          <w:rFonts w:ascii="Arial" w:hAnsi="Arial" w:cs="Arial"/>
          <w:sz w:val="22"/>
          <w:szCs w:val="22"/>
        </w:rPr>
        <w:t>-</w:t>
      </w:r>
      <w:r w:rsidR="003A7A72" w:rsidRPr="004B15C6"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Planimetria e Sezioni Tipo</w:t>
      </w:r>
    </w:p>
    <w:p w:rsidR="003A7A72" w:rsidRPr="00FD4359" w:rsidRDefault="005F274A" w:rsidP="005F274A">
      <w:pPr>
        <w:pStyle w:val="Corpodeltesto2"/>
        <w:tabs>
          <w:tab w:val="left" w:pos="3828"/>
          <w:tab w:val="left" w:pos="4253"/>
          <w:tab w:val="left" w:pos="4536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E.5</w:t>
      </w:r>
      <w:r w:rsidR="003A7A72">
        <w:rPr>
          <w:rFonts w:ascii="Arial" w:hAnsi="Arial" w:cs="Arial"/>
          <w:sz w:val="22"/>
          <w:szCs w:val="22"/>
        </w:rPr>
        <w:tab/>
        <w:t>-</w:t>
      </w:r>
      <w:r w:rsidR="003A7A72"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Documentazione fotografica</w:t>
      </w:r>
    </w:p>
    <w:p w:rsidR="003A7A72" w:rsidRDefault="005F274A" w:rsidP="005F274A">
      <w:pPr>
        <w:pStyle w:val="Corpodeltesto2"/>
        <w:tabs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 xml:space="preserve">PRIME INDICAZIONI E MISURE FINALIZZATE </w:t>
      </w:r>
      <w:r w:rsidR="00EE2B73">
        <w:rPr>
          <w:rFonts w:ascii="Arial" w:hAnsi="Arial" w:cs="Arial"/>
          <w:sz w:val="22"/>
          <w:szCs w:val="22"/>
        </w:rPr>
        <w:t>ALLA</w:t>
      </w:r>
    </w:p>
    <w:p w:rsidR="003A7A72" w:rsidRDefault="005F274A" w:rsidP="005F274A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F</w:t>
      </w:r>
      <w:r w:rsidR="003A7A72">
        <w:rPr>
          <w:rFonts w:ascii="Arial" w:hAnsi="Arial" w:cs="Arial"/>
          <w:sz w:val="22"/>
          <w:szCs w:val="22"/>
        </w:rPr>
        <w:tab/>
        <w:t>-</w:t>
      </w:r>
      <w:r w:rsidR="003A7A72">
        <w:rPr>
          <w:rFonts w:ascii="Arial" w:hAnsi="Arial" w:cs="Arial"/>
          <w:sz w:val="22"/>
          <w:szCs w:val="22"/>
        </w:rPr>
        <w:tab/>
        <w:t xml:space="preserve">TUTELA </w:t>
      </w:r>
      <w:r w:rsidR="00B734A0">
        <w:rPr>
          <w:rFonts w:ascii="Arial" w:hAnsi="Arial" w:cs="Arial"/>
          <w:sz w:val="22"/>
          <w:szCs w:val="22"/>
        </w:rPr>
        <w:t xml:space="preserve">DELLA SALUTE E SICUREZZA </w:t>
      </w:r>
      <w:r w:rsidR="003A7A72">
        <w:rPr>
          <w:rFonts w:ascii="Arial" w:hAnsi="Arial" w:cs="Arial"/>
          <w:sz w:val="22"/>
          <w:szCs w:val="22"/>
        </w:rPr>
        <w:t>DEI LUOGHI</w:t>
      </w:r>
    </w:p>
    <w:p w:rsidR="003A7A72" w:rsidRDefault="005F274A" w:rsidP="005F274A">
      <w:pPr>
        <w:pStyle w:val="Corpodeltesto2"/>
        <w:tabs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0B80">
        <w:rPr>
          <w:rFonts w:ascii="Arial" w:hAnsi="Arial" w:cs="Arial"/>
          <w:sz w:val="22"/>
          <w:szCs w:val="22"/>
        </w:rPr>
        <w:t xml:space="preserve">DI LAVORO PER </w:t>
      </w:r>
      <w:r w:rsidR="003A7A72">
        <w:rPr>
          <w:rFonts w:ascii="Arial" w:hAnsi="Arial" w:cs="Arial"/>
          <w:sz w:val="22"/>
          <w:szCs w:val="22"/>
        </w:rPr>
        <w:t>LA STESURA DEI PIANI DI SICUREZZA</w:t>
      </w:r>
    </w:p>
    <w:p w:rsidR="003A7A72" w:rsidRDefault="005F274A" w:rsidP="005F274A">
      <w:pPr>
        <w:pStyle w:val="Corpodeltesto2"/>
        <w:tabs>
          <w:tab w:val="left" w:pos="851"/>
          <w:tab w:val="left" w:pos="1276"/>
          <w:tab w:val="left" w:pos="1560"/>
        </w:tabs>
        <w:spacing w:after="0"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G</w:t>
      </w:r>
      <w:r w:rsidR="003A7A72" w:rsidRPr="001F4654">
        <w:rPr>
          <w:rFonts w:ascii="Arial" w:hAnsi="Arial" w:cs="Arial"/>
          <w:sz w:val="22"/>
          <w:szCs w:val="22"/>
        </w:rPr>
        <w:tab/>
        <w:t>-</w:t>
      </w:r>
      <w:r w:rsidR="003A7A72" w:rsidRPr="001F4654">
        <w:rPr>
          <w:rFonts w:ascii="Arial" w:hAnsi="Arial" w:cs="Arial"/>
          <w:sz w:val="22"/>
          <w:szCs w:val="22"/>
        </w:rPr>
        <w:tab/>
      </w:r>
      <w:r w:rsidR="003A7A72" w:rsidRPr="00EE25FA">
        <w:rPr>
          <w:rFonts w:ascii="Arial" w:hAnsi="Arial" w:cs="Arial"/>
          <w:sz w:val="22"/>
          <w:szCs w:val="22"/>
        </w:rPr>
        <w:t>CALCOLO SOMMARIO DELLA SPESA</w:t>
      </w:r>
    </w:p>
    <w:p w:rsidR="003A7A72" w:rsidRPr="001F4654" w:rsidRDefault="005F274A" w:rsidP="005F274A">
      <w:pPr>
        <w:pStyle w:val="Corpodeltesto2"/>
        <w:tabs>
          <w:tab w:val="left" w:pos="851"/>
          <w:tab w:val="left" w:pos="1276"/>
          <w:tab w:val="left" w:pos="1560"/>
        </w:tabs>
        <w:spacing w:line="24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A7A72">
        <w:rPr>
          <w:rFonts w:ascii="Arial" w:hAnsi="Arial" w:cs="Arial"/>
          <w:sz w:val="22"/>
          <w:szCs w:val="22"/>
        </w:rPr>
        <w:t>H</w:t>
      </w:r>
      <w:r w:rsidR="003A7A72" w:rsidRPr="001F4654">
        <w:rPr>
          <w:rFonts w:ascii="Arial" w:hAnsi="Arial" w:cs="Arial"/>
          <w:sz w:val="22"/>
          <w:szCs w:val="22"/>
        </w:rPr>
        <w:tab/>
        <w:t>-</w:t>
      </w:r>
      <w:r w:rsidR="003A7A72" w:rsidRPr="001F4654">
        <w:rPr>
          <w:rFonts w:ascii="Arial" w:hAnsi="Arial" w:cs="Arial"/>
          <w:sz w:val="22"/>
          <w:szCs w:val="22"/>
        </w:rPr>
        <w:tab/>
        <w:t>QUADRO ECONOMICO DI PROGETTO</w:t>
      </w:r>
    </w:p>
    <w:p w:rsidR="00EA070C" w:rsidRPr="0028622D" w:rsidRDefault="00EA070C" w:rsidP="009134F3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F64A8E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F7" w:rsidRDefault="00392EF7">
      <w:r>
        <w:separator/>
      </w:r>
    </w:p>
  </w:endnote>
  <w:endnote w:type="continuationSeparator" w:id="0">
    <w:p w:rsidR="00392EF7" w:rsidRDefault="0039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80000004-Identity-H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392EF7">
    <w:pPr>
      <w:pStyle w:val="Pidipagina"/>
    </w:pPr>
    <w:r>
      <w:rPr>
        <w:noProof/>
      </w:rPr>
      <w:pict>
        <v:line id="Line 1" o:spid="_x0000_s2049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F7" w:rsidRDefault="00392EF7">
      <w:r>
        <w:separator/>
      </w:r>
    </w:p>
  </w:footnote>
  <w:footnote w:type="continuationSeparator" w:id="0">
    <w:p w:rsidR="00392EF7" w:rsidRDefault="0039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7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2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26"/>
  </w:num>
  <w:num w:numId="6">
    <w:abstractNumId w:val="8"/>
  </w:num>
  <w:num w:numId="7">
    <w:abstractNumId w:val="3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20"/>
  </w:num>
  <w:num w:numId="13">
    <w:abstractNumId w:val="1"/>
  </w:num>
  <w:num w:numId="14">
    <w:abstractNumId w:val="13"/>
  </w:num>
  <w:num w:numId="15">
    <w:abstractNumId w:val="25"/>
  </w:num>
  <w:num w:numId="16">
    <w:abstractNumId w:val="23"/>
  </w:num>
  <w:num w:numId="17">
    <w:abstractNumId w:val="3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D605F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306"/>
    <w:rsid w:val="00135E6A"/>
    <w:rsid w:val="001374A5"/>
    <w:rsid w:val="001379A5"/>
    <w:rsid w:val="001419D3"/>
    <w:rsid w:val="00141BFE"/>
    <w:rsid w:val="00143B4C"/>
    <w:rsid w:val="00144D5A"/>
    <w:rsid w:val="00154CC2"/>
    <w:rsid w:val="00164B21"/>
    <w:rsid w:val="00175FBC"/>
    <w:rsid w:val="00185E83"/>
    <w:rsid w:val="00194054"/>
    <w:rsid w:val="00195D29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1A86"/>
    <w:rsid w:val="00232070"/>
    <w:rsid w:val="00235A54"/>
    <w:rsid w:val="00242575"/>
    <w:rsid w:val="00246D0F"/>
    <w:rsid w:val="00250B80"/>
    <w:rsid w:val="00257C23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92EF7"/>
    <w:rsid w:val="0039303D"/>
    <w:rsid w:val="003A1DFF"/>
    <w:rsid w:val="003A7A72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35A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2C27"/>
    <w:rsid w:val="005E4CA8"/>
    <w:rsid w:val="005E62ED"/>
    <w:rsid w:val="005F0424"/>
    <w:rsid w:val="005F1A4E"/>
    <w:rsid w:val="005F274A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8A9"/>
    <w:rsid w:val="006C0C0C"/>
    <w:rsid w:val="006C42E4"/>
    <w:rsid w:val="006D632F"/>
    <w:rsid w:val="006D6BDE"/>
    <w:rsid w:val="006E4FCA"/>
    <w:rsid w:val="006F0B1E"/>
    <w:rsid w:val="006F659E"/>
    <w:rsid w:val="006F69E9"/>
    <w:rsid w:val="00700291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4205"/>
    <w:rsid w:val="00872A64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134F3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92956"/>
    <w:rsid w:val="009947F4"/>
    <w:rsid w:val="00995E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9F6D32"/>
    <w:rsid w:val="00A0232A"/>
    <w:rsid w:val="00A03085"/>
    <w:rsid w:val="00A06B95"/>
    <w:rsid w:val="00A27970"/>
    <w:rsid w:val="00A448E7"/>
    <w:rsid w:val="00A45308"/>
    <w:rsid w:val="00A45BAF"/>
    <w:rsid w:val="00A4739C"/>
    <w:rsid w:val="00A538CB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39E2"/>
    <w:rsid w:val="00B06F88"/>
    <w:rsid w:val="00B12108"/>
    <w:rsid w:val="00B141FD"/>
    <w:rsid w:val="00B164E7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4A0"/>
    <w:rsid w:val="00B73D0F"/>
    <w:rsid w:val="00B743C9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E5B66"/>
    <w:rsid w:val="00BF24A8"/>
    <w:rsid w:val="00C1203D"/>
    <w:rsid w:val="00C145CF"/>
    <w:rsid w:val="00C15C47"/>
    <w:rsid w:val="00C16B5D"/>
    <w:rsid w:val="00C207E3"/>
    <w:rsid w:val="00C212B5"/>
    <w:rsid w:val="00C222D0"/>
    <w:rsid w:val="00C3439F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31EA"/>
    <w:rsid w:val="00DE4B3E"/>
    <w:rsid w:val="00DE6623"/>
    <w:rsid w:val="00DE7738"/>
    <w:rsid w:val="00DF7015"/>
    <w:rsid w:val="00E112CD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B7FC6"/>
    <w:rsid w:val="00EC487D"/>
    <w:rsid w:val="00ED03CE"/>
    <w:rsid w:val="00ED4370"/>
    <w:rsid w:val="00ED5AB0"/>
    <w:rsid w:val="00EE1E59"/>
    <w:rsid w:val="00EE2B73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0E1E"/>
    <w:rsid w:val="00F412D4"/>
    <w:rsid w:val="00F45A45"/>
    <w:rsid w:val="00F51EB2"/>
    <w:rsid w:val="00F64A8E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327C-932F-45F6-9BA8-67716E14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Luciano Machetti</cp:lastModifiedBy>
  <cp:revision>16</cp:revision>
  <cp:lastPrinted>2014-12-15T15:29:00Z</cp:lastPrinted>
  <dcterms:created xsi:type="dcterms:W3CDTF">2014-12-15T15:48:00Z</dcterms:created>
  <dcterms:modified xsi:type="dcterms:W3CDTF">2014-12-23T10:02:00Z</dcterms:modified>
</cp:coreProperties>
</file>