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 xml:space="preserve">Viale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971752" w:rsidRDefault="00655459" w:rsidP="00971752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pict>
          <v:line id="Line 34" o:spid="_x0000_s1027" style="position:absolute;left:0;text-align:left;z-index:251665920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971752">
        <w:rPr>
          <w:rFonts w:ascii="Arial" w:hAnsi="Arial" w:cs="Arial"/>
          <w:b/>
          <w:bCs/>
          <w:sz w:val="26"/>
          <w:szCs w:val="26"/>
        </w:rPr>
        <w:t xml:space="preserve">  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8562C4" w:rsidRPr="008562C4">
        <w:rPr>
          <w:rFonts w:ascii="Arial" w:hAnsi="Arial" w:cs="Arial"/>
          <w:b/>
          <w:bCs/>
          <w:sz w:val="26"/>
          <w:szCs w:val="26"/>
          <w:u w:val="double"/>
        </w:rPr>
        <w:t>215</w:t>
      </w:r>
      <w:r w:rsidR="00971752" w:rsidRPr="008562C4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>DEL 18 DICEMBRE 2014</w:t>
      </w:r>
    </w:p>
    <w:p w:rsidR="00971752" w:rsidRDefault="00971752" w:rsidP="00971752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L’anno duemilaquattordici il giorno 18 del mese di Dicembre alle ore 1</w:t>
      </w:r>
      <w:r w:rsidR="008857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07380E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presso la sede del Consorzio in Grosseto, viale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Deliberazione della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0D1D8A" w:rsidRDefault="009947F4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seguente </w:t>
      </w:r>
      <w:r w:rsidR="00834AE3">
        <w:rPr>
          <w:rFonts w:ascii="Arial" w:hAnsi="Arial" w:cs="Arial"/>
          <w:sz w:val="22"/>
          <w:szCs w:val="22"/>
        </w:rPr>
        <w:t xml:space="preserve">piano </w:t>
      </w:r>
      <w:r>
        <w:rPr>
          <w:rFonts w:ascii="Arial" w:hAnsi="Arial" w:cs="Arial"/>
          <w:sz w:val="22"/>
          <w:szCs w:val="22"/>
        </w:rPr>
        <w:t>degli interventi</w:t>
      </w:r>
      <w:r w:rsidR="000D1D8A" w:rsidRPr="000D1D8A">
        <w:rPr>
          <w:rFonts w:ascii="Arial" w:hAnsi="Arial" w:cs="Arial"/>
          <w:sz w:val="22"/>
          <w:szCs w:val="22"/>
        </w:rPr>
        <w:t>:</w:t>
      </w:r>
    </w:p>
    <w:tbl>
      <w:tblPr>
        <w:tblW w:w="10155" w:type="dxa"/>
        <w:tblInd w:w="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75"/>
        <w:gridCol w:w="1510"/>
        <w:gridCol w:w="1777"/>
        <w:gridCol w:w="1391"/>
        <w:gridCol w:w="3402"/>
      </w:tblGrid>
      <w:tr w:rsidR="009947F4" w:rsidTr="00A72BA3">
        <w:trPr>
          <w:cantSplit/>
          <w:trHeight w:val="25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PRIORITA MISURA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COD. AZIONE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AZIONE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IMPORTO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DESCRIZIONE INTERVENTO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141BFE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1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€ 53.680.00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N°32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SISTEMAZIONE DI VERSANTE  MEDIANTE INTERVENTI DI INGEGNERIA NATURALISTICA A MONTE DEL COLLETTORE IN LOC. PETRICCI ED OPERE COMPLEMENTARI - COMUNE DI SEMPRONIANO.</w:t>
            </w:r>
          </w:p>
        </w:tc>
      </w:tr>
      <w:tr w:rsidR="00141BFE" w:rsidTr="00A72BA3">
        <w:trPr>
          <w:cantSplit/>
          <w:trHeight w:val="10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1977B5" w:rsidRDefault="00141BFE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71752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2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bCs/>
                <w:color w:val="000000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b.II.1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jc w:val="center"/>
              <w:rPr>
                <w:rFonts w:ascii="Arial" w:hAnsi="Arial" w:cs="Arial"/>
                <w:b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- Recupero e consolidamento di versanti dissestati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€ 134.200,00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N°31 -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FONDI DI RISERVA PSR 2007-2013 MIS.226 - LAVORI DI RIPRISTINO DI UNA BRIGLIA PASSANTE SUL TORRENTE CAESE ED OPERE COMPLEMENTARI - COMUNE DI SEMPRONIANO.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71752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3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viabilità di servizio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€ 161.040,00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834AE3" w:rsidRDefault="009947F4" w:rsidP="008A5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N°33 -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DI UNA BRIGLIA PASSANTE SUL TORRENTE ZOLFERATE ED OPERE COMPLEMENTARI IN LOC. MULI- COMUNE DI ROCCALBEGNA.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971752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4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€ 316.900,00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N°36 -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DELLA SEZIONI IDRAULICHE E REALIZZAZIONE DI DIFESE SPONDALI SUL TORRENTE VIVO IN</w:t>
            </w:r>
            <w:r w:rsidRPr="00834A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01A0E">
              <w:rPr>
                <w:rFonts w:ascii="Arial" w:hAnsi="Arial" w:cs="Arial"/>
                <w:sz w:val="16"/>
                <w:szCs w:val="16"/>
              </w:rPr>
              <w:t>LOC. VAL D'ORCIA</w:t>
            </w:r>
            <w:r w:rsidRPr="00834AE3">
              <w:rPr>
                <w:rFonts w:ascii="Arial" w:hAnsi="Arial" w:cs="Arial"/>
                <w:sz w:val="16"/>
                <w:szCs w:val="16"/>
              </w:rPr>
              <w:t>- COMUNE DI SEGGIANO.</w:t>
            </w:r>
          </w:p>
        </w:tc>
      </w:tr>
    </w:tbl>
    <w:p w:rsidR="00834AE3" w:rsidRDefault="00834AE3" w:rsidP="0083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22D" w:rsidRDefault="009947F4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>la base di quanto previsto dal Decreto della R.T.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>3</w:t>
      </w:r>
      <w:r w:rsidR="00F22B5D">
        <w:rPr>
          <w:rFonts w:ascii="Arial" w:hAnsi="Arial" w:cs="Arial"/>
          <w:sz w:val="22"/>
          <w:szCs w:val="22"/>
        </w:rPr>
        <w:t>3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FONDO DI RISERVA PSR 2007-2013 MIS.226 - LAVORI DI RIPRISTINO DI UNA BRIGLIA PASSANTE SUL TORRENTE ZOLFERATE ED OPERE COMPLEMENTARI IN LOC. MULI</w:t>
      </w:r>
      <w:r w:rsidR="00DA5420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- COMUNE DI ROCCALBEGNA.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F22B5D">
        <w:rPr>
          <w:rFonts w:ascii="Arial" w:hAnsi="Arial" w:cs="Arial"/>
          <w:sz w:val="22"/>
          <w:szCs w:val="22"/>
        </w:rPr>
        <w:t>16</w:t>
      </w:r>
      <w:r w:rsidR="0033353B">
        <w:rPr>
          <w:rFonts w:ascii="Arial" w:hAnsi="Arial" w:cs="Arial"/>
          <w:sz w:val="22"/>
          <w:szCs w:val="22"/>
        </w:rPr>
        <w:t>1</w:t>
      </w:r>
      <w:r w:rsidR="00F22B5D">
        <w:rPr>
          <w:rFonts w:ascii="Arial" w:hAnsi="Arial" w:cs="Arial"/>
          <w:sz w:val="22"/>
          <w:szCs w:val="22"/>
        </w:rPr>
        <w:t>.040</w:t>
      </w:r>
      <w:r w:rsidR="0028622D">
        <w:rPr>
          <w:rFonts w:ascii="Arial" w:hAnsi="Arial" w:cs="Arial"/>
          <w:sz w:val="22"/>
          <w:szCs w:val="22"/>
        </w:rPr>
        <w:t>,00;</w:t>
      </w:r>
    </w:p>
    <w:p w:rsidR="00F53401" w:rsidRPr="00962FED" w:rsidRDefault="00F53401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962FED">
        <w:rPr>
          <w:rFonts w:ascii="Arial" w:hAnsi="Arial" w:cs="Arial"/>
          <w:sz w:val="22"/>
          <w:szCs w:val="22"/>
        </w:rPr>
        <w:t>Preso atto del parere favorevole del Revisore Unico dei conti;</w:t>
      </w:r>
    </w:p>
    <w:p w:rsidR="00F53401" w:rsidRPr="00962FED" w:rsidRDefault="00F53401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962FED">
        <w:rPr>
          <w:rFonts w:ascii="Arial" w:hAnsi="Arial" w:cs="Arial"/>
          <w:sz w:val="22"/>
          <w:szCs w:val="22"/>
        </w:rPr>
        <w:t>Preso atto del parere del Responsabile del Procedimento e del Direttore Generale sul procedimento tecnico - amministrativo in oggetto;</w:t>
      </w:r>
    </w:p>
    <w:p w:rsidR="00F53401" w:rsidRPr="00962FED" w:rsidRDefault="00F53401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962FED">
        <w:rPr>
          <w:rFonts w:ascii="Arial" w:hAnsi="Arial" w:cs="Arial"/>
          <w:sz w:val="22"/>
          <w:szCs w:val="22"/>
        </w:rPr>
        <w:t>Preso atto del parere favorevole dell’Ufficio di Presidenza;</w:t>
      </w:r>
    </w:p>
    <w:p w:rsidR="00562FCB" w:rsidRDefault="00562FCB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r w:rsidR="00427632">
        <w:rPr>
          <w:rFonts w:ascii="Arial" w:hAnsi="Arial" w:cs="Arial"/>
          <w:sz w:val="22"/>
          <w:szCs w:val="22"/>
        </w:rPr>
        <w:t>ss.mm.ii.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Default="0028622D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in linea tecnica il Progetto</w:t>
      </w:r>
      <w:r w:rsidR="00141BFE">
        <w:rPr>
          <w:rFonts w:ascii="Arial" w:hAnsi="Arial" w:cs="Arial"/>
          <w:sz w:val="22"/>
          <w:szCs w:val="22"/>
        </w:rPr>
        <w:t xml:space="preserve"> Preliminare</w:t>
      </w:r>
      <w:r w:rsidRPr="0028622D">
        <w:rPr>
          <w:rFonts w:ascii="Arial" w:hAnsi="Arial" w:cs="Arial"/>
          <w:sz w:val="22"/>
          <w:szCs w:val="22"/>
        </w:rPr>
        <w:t xml:space="preserve"> denominato </w:t>
      </w:r>
      <w:r w:rsidR="00F22B5D" w:rsidRPr="00151D76">
        <w:rPr>
          <w:rFonts w:ascii="Arial" w:hAnsi="Arial" w:cs="Arial"/>
          <w:sz w:val="22"/>
          <w:szCs w:val="22"/>
        </w:rPr>
        <w:t>“</w:t>
      </w:r>
      <w:r w:rsidR="00F22B5D">
        <w:rPr>
          <w:rFonts w:ascii="Arial" w:hAnsi="Arial" w:cs="Arial"/>
          <w:sz w:val="22"/>
          <w:szCs w:val="22"/>
        </w:rPr>
        <w:t>PERIZIA</w:t>
      </w:r>
      <w:r w:rsidR="00F22B5D" w:rsidRPr="00151D76">
        <w:rPr>
          <w:rFonts w:ascii="Arial" w:hAnsi="Arial" w:cs="Arial"/>
          <w:sz w:val="22"/>
          <w:szCs w:val="22"/>
        </w:rPr>
        <w:t xml:space="preserve"> n°0</w:t>
      </w:r>
      <w:r w:rsidR="00F22B5D">
        <w:rPr>
          <w:rFonts w:ascii="Arial" w:hAnsi="Arial" w:cs="Arial"/>
          <w:sz w:val="22"/>
          <w:szCs w:val="22"/>
        </w:rPr>
        <w:t xml:space="preserve">33 </w:t>
      </w:r>
      <w:r w:rsidR="00F22B5D" w:rsidRPr="00151D76">
        <w:rPr>
          <w:rFonts w:ascii="Arial" w:hAnsi="Arial" w:cs="Arial"/>
          <w:sz w:val="22"/>
          <w:szCs w:val="22"/>
        </w:rPr>
        <w:t xml:space="preserve"> –</w:t>
      </w:r>
      <w:r w:rsidR="00F22B5D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FONDO DI RISERVA PSR 2007-2013 MIS.226 - LAVORI DI RIPRISTINO DI UNA BRIGLIA PASSANTE SUL TORRENTE ZOLFERATE ED OPERE COMPLEMENTARI IN LOC. MULI</w:t>
      </w:r>
      <w:r w:rsidR="00DA5420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- COMUNE DI ROCCALBEGNA.</w:t>
      </w:r>
      <w:r w:rsidR="00F22B5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F22B5D">
        <w:rPr>
          <w:rFonts w:ascii="Arial" w:hAnsi="Arial" w:cs="Arial"/>
          <w:sz w:val="22"/>
          <w:szCs w:val="22"/>
        </w:rPr>
        <w:t>16</w:t>
      </w:r>
      <w:r w:rsidR="0033353B">
        <w:rPr>
          <w:rFonts w:ascii="Arial" w:hAnsi="Arial" w:cs="Arial"/>
          <w:sz w:val="22"/>
          <w:szCs w:val="22"/>
        </w:rPr>
        <w:t>1</w:t>
      </w:r>
      <w:r w:rsidR="00F22B5D">
        <w:rPr>
          <w:rFonts w:ascii="Arial" w:hAnsi="Arial" w:cs="Arial"/>
          <w:sz w:val="22"/>
          <w:szCs w:val="22"/>
        </w:rPr>
        <w:t>.040,00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 w:rsidR="00992956">
        <w:rPr>
          <w:rFonts w:ascii="Arial" w:hAnsi="Arial" w:cs="Arial"/>
          <w:sz w:val="22"/>
          <w:szCs w:val="22"/>
        </w:rPr>
        <w:t>10/12</w:t>
      </w:r>
      <w:r w:rsidRPr="0028622D">
        <w:rPr>
          <w:rFonts w:ascii="Arial" w:hAnsi="Arial" w:cs="Arial"/>
          <w:sz w:val="22"/>
          <w:szCs w:val="22"/>
        </w:rPr>
        <w:t>/2014, costituito dai seguenti elaborati:</w:t>
      </w:r>
    </w:p>
    <w:p w:rsidR="00785529" w:rsidRPr="00785529" w:rsidRDefault="00785529" w:rsidP="00785529">
      <w:pPr>
        <w:pStyle w:val="Paragrafoelenco"/>
        <w:tabs>
          <w:tab w:val="left" w:pos="851"/>
          <w:tab w:val="left" w:pos="1276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5529">
        <w:rPr>
          <w:rFonts w:ascii="Arial" w:hAnsi="Arial" w:cs="Arial"/>
          <w:sz w:val="22"/>
          <w:szCs w:val="22"/>
        </w:rPr>
        <w:t>A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RELAZIONE GENERALE</w:t>
      </w:r>
    </w:p>
    <w:p w:rsidR="00785529" w:rsidRPr="00785529" w:rsidRDefault="00785529" w:rsidP="00785529">
      <w:pPr>
        <w:pStyle w:val="Paragrafoelenco"/>
        <w:tabs>
          <w:tab w:val="left" w:pos="851"/>
          <w:tab w:val="left" w:pos="1276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5529">
        <w:rPr>
          <w:rFonts w:ascii="Arial" w:hAnsi="Arial" w:cs="Arial"/>
          <w:sz w:val="22"/>
          <w:szCs w:val="22"/>
        </w:rPr>
        <w:t>E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ELABORATI GRAFICI:</w:t>
      </w:r>
    </w:p>
    <w:p w:rsidR="00785529" w:rsidRPr="00785529" w:rsidRDefault="00785529" w:rsidP="00785529">
      <w:pPr>
        <w:pStyle w:val="Paragrafoelenco"/>
        <w:tabs>
          <w:tab w:val="left" w:pos="3828"/>
          <w:tab w:val="left" w:pos="4253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E.1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Corografia - 1:50.000</w:t>
      </w:r>
    </w:p>
    <w:p w:rsidR="00785529" w:rsidRPr="00785529" w:rsidRDefault="00785529" w:rsidP="00785529">
      <w:pPr>
        <w:pStyle w:val="Paragrafoelenco"/>
        <w:tabs>
          <w:tab w:val="left" w:pos="3828"/>
          <w:tab w:val="left" w:pos="4253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E.2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Corografia - 1:25.000</w:t>
      </w:r>
    </w:p>
    <w:p w:rsidR="00785529" w:rsidRPr="00785529" w:rsidRDefault="00785529" w:rsidP="00785529">
      <w:pPr>
        <w:pStyle w:val="Paragrafoelenco"/>
        <w:tabs>
          <w:tab w:val="left" w:pos="3828"/>
          <w:tab w:val="left" w:pos="4253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E.3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Planimetria - 1:10.000</w:t>
      </w:r>
    </w:p>
    <w:p w:rsidR="00785529" w:rsidRPr="00785529" w:rsidRDefault="00785529" w:rsidP="00785529">
      <w:pPr>
        <w:pStyle w:val="Paragrafoelenco"/>
        <w:tabs>
          <w:tab w:val="left" w:pos="3828"/>
          <w:tab w:val="left" w:pos="4253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E.4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Planimetria e Sezioni Tipo</w:t>
      </w:r>
    </w:p>
    <w:p w:rsidR="00785529" w:rsidRPr="00785529" w:rsidRDefault="00785529" w:rsidP="00785529">
      <w:pPr>
        <w:pStyle w:val="Paragrafoelenco"/>
        <w:tabs>
          <w:tab w:val="left" w:pos="3828"/>
          <w:tab w:val="left" w:pos="4253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E.5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Documentazione fotografica</w:t>
      </w:r>
    </w:p>
    <w:p w:rsidR="00785529" w:rsidRPr="00785529" w:rsidRDefault="00785529" w:rsidP="00785529">
      <w:pPr>
        <w:pStyle w:val="Paragrafoelenco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PRIME INDICAZIONI E MISURE FINALIZZATE ALLA</w:t>
      </w:r>
    </w:p>
    <w:p w:rsidR="00785529" w:rsidRPr="00785529" w:rsidRDefault="00785529" w:rsidP="00785529">
      <w:pPr>
        <w:pStyle w:val="Paragrafoelenco"/>
        <w:tabs>
          <w:tab w:val="left" w:pos="851"/>
          <w:tab w:val="left" w:pos="1276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F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TUTELA DELLA SALUTE E SICUREZZA DEI LUOGHI</w:t>
      </w:r>
    </w:p>
    <w:p w:rsidR="00785529" w:rsidRPr="00785529" w:rsidRDefault="00785529" w:rsidP="00785529">
      <w:pPr>
        <w:pStyle w:val="Paragrafoelenco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785529">
        <w:rPr>
          <w:rFonts w:ascii="Arial" w:hAnsi="Arial" w:cs="Arial"/>
          <w:sz w:val="22"/>
          <w:szCs w:val="22"/>
        </w:rPr>
        <w:tab/>
        <w:t>DI LAVORO PER LA STESURA DEI PIANI DI SICUREZZA</w:t>
      </w:r>
    </w:p>
    <w:p w:rsidR="00785529" w:rsidRPr="00785529" w:rsidRDefault="00785529" w:rsidP="00785529">
      <w:pPr>
        <w:pStyle w:val="Paragrafoelenco"/>
        <w:tabs>
          <w:tab w:val="left" w:pos="851"/>
          <w:tab w:val="left" w:pos="1276"/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5529">
        <w:rPr>
          <w:rFonts w:ascii="Arial" w:hAnsi="Arial" w:cs="Arial"/>
          <w:sz w:val="22"/>
          <w:szCs w:val="22"/>
        </w:rPr>
        <w:t>G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CALCOLO SOMMARIO DELLA SPESA</w:t>
      </w:r>
    </w:p>
    <w:p w:rsidR="00785529" w:rsidRPr="00785529" w:rsidRDefault="00785529" w:rsidP="00785529">
      <w:pPr>
        <w:pStyle w:val="Paragrafoelenco"/>
        <w:tabs>
          <w:tab w:val="left" w:pos="851"/>
          <w:tab w:val="left" w:pos="1276"/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5529">
        <w:rPr>
          <w:rFonts w:ascii="Arial" w:hAnsi="Arial" w:cs="Arial"/>
          <w:sz w:val="22"/>
          <w:szCs w:val="22"/>
        </w:rPr>
        <w:t>H</w:t>
      </w:r>
      <w:r w:rsidRPr="00785529">
        <w:rPr>
          <w:rFonts w:ascii="Arial" w:hAnsi="Arial" w:cs="Arial"/>
          <w:sz w:val="22"/>
          <w:szCs w:val="22"/>
        </w:rPr>
        <w:tab/>
        <w:t>-</w:t>
      </w:r>
      <w:r w:rsidRPr="00785529">
        <w:rPr>
          <w:rFonts w:ascii="Arial" w:hAnsi="Arial" w:cs="Arial"/>
          <w:sz w:val="22"/>
          <w:szCs w:val="22"/>
        </w:rPr>
        <w:tab/>
        <w:t>QUADRO ECONOMICO DI PROGETTO</w:t>
      </w:r>
    </w:p>
    <w:p w:rsidR="00EA070C" w:rsidRPr="0028622D" w:rsidRDefault="00EA070C" w:rsidP="00962FED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B72F7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59" w:rsidRDefault="00655459">
      <w:r>
        <w:separator/>
      </w:r>
    </w:p>
  </w:endnote>
  <w:endnote w:type="continuationSeparator" w:id="0">
    <w:p w:rsidR="00655459" w:rsidRDefault="006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80000004-Identity-H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655459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59" w:rsidRDefault="00655459">
      <w:r>
        <w:separator/>
      </w:r>
    </w:p>
  </w:footnote>
  <w:footnote w:type="continuationSeparator" w:id="0">
    <w:p w:rsidR="00655459" w:rsidRDefault="0065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7CD3"/>
    <w:multiLevelType w:val="hybridMultilevel"/>
    <w:tmpl w:val="E7AEBC0E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8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3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9"/>
  </w:num>
  <w:num w:numId="5">
    <w:abstractNumId w:val="27"/>
  </w:num>
  <w:num w:numId="6">
    <w:abstractNumId w:val="8"/>
  </w:num>
  <w:num w:numId="7">
    <w:abstractNumId w:val="32"/>
  </w:num>
  <w:num w:numId="8">
    <w:abstractNumId w:val="15"/>
  </w:num>
  <w:num w:numId="9">
    <w:abstractNumId w:val="29"/>
  </w:num>
  <w:num w:numId="10">
    <w:abstractNumId w:val="14"/>
  </w:num>
  <w:num w:numId="11">
    <w:abstractNumId w:val="30"/>
  </w:num>
  <w:num w:numId="12">
    <w:abstractNumId w:val="20"/>
  </w:num>
  <w:num w:numId="13">
    <w:abstractNumId w:val="1"/>
  </w:num>
  <w:num w:numId="14">
    <w:abstractNumId w:val="13"/>
  </w:num>
  <w:num w:numId="15">
    <w:abstractNumId w:val="26"/>
  </w:num>
  <w:num w:numId="16">
    <w:abstractNumId w:val="23"/>
  </w:num>
  <w:num w:numId="17">
    <w:abstractNumId w:val="3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1"/>
  </w:num>
  <w:num w:numId="26">
    <w:abstractNumId w:val="28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380E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353B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21BD"/>
    <w:rsid w:val="003C442A"/>
    <w:rsid w:val="003D37F1"/>
    <w:rsid w:val="003D54B2"/>
    <w:rsid w:val="003D64D9"/>
    <w:rsid w:val="003E0464"/>
    <w:rsid w:val="003F6545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22D5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55459"/>
    <w:rsid w:val="006602D6"/>
    <w:rsid w:val="006639A6"/>
    <w:rsid w:val="00680A4B"/>
    <w:rsid w:val="00683483"/>
    <w:rsid w:val="006850E1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85529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7F3602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562C4"/>
    <w:rsid w:val="00864205"/>
    <w:rsid w:val="00872A64"/>
    <w:rsid w:val="0088577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2FED"/>
    <w:rsid w:val="00965D1C"/>
    <w:rsid w:val="00970518"/>
    <w:rsid w:val="00971752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39E2"/>
    <w:rsid w:val="00B06F88"/>
    <w:rsid w:val="00B12108"/>
    <w:rsid w:val="00B141FD"/>
    <w:rsid w:val="00B164E7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868F4"/>
    <w:rsid w:val="00B94B7C"/>
    <w:rsid w:val="00BA3816"/>
    <w:rsid w:val="00BA54BF"/>
    <w:rsid w:val="00BA6768"/>
    <w:rsid w:val="00BB0280"/>
    <w:rsid w:val="00BB72F7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A5420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22B5D"/>
    <w:rsid w:val="00F30DA4"/>
    <w:rsid w:val="00F32C7D"/>
    <w:rsid w:val="00F33BCD"/>
    <w:rsid w:val="00F363AB"/>
    <w:rsid w:val="00F40E1E"/>
    <w:rsid w:val="00F412D4"/>
    <w:rsid w:val="00F45A45"/>
    <w:rsid w:val="00F46710"/>
    <w:rsid w:val="00F51EB2"/>
    <w:rsid w:val="00F53401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4A56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7D51-DF0D-407B-91A2-5A44E3A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Luciano Machetti</cp:lastModifiedBy>
  <cp:revision>16</cp:revision>
  <cp:lastPrinted>2014-12-15T15:29:00Z</cp:lastPrinted>
  <dcterms:created xsi:type="dcterms:W3CDTF">2014-12-15T15:49:00Z</dcterms:created>
  <dcterms:modified xsi:type="dcterms:W3CDTF">2014-12-23T10:02:00Z</dcterms:modified>
</cp:coreProperties>
</file>