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D6" w:rsidRPr="006022FC" w:rsidRDefault="00BA40D6" w:rsidP="00BA40D6">
      <w:pPr>
        <w:pStyle w:val="Titolo4"/>
        <w:tabs>
          <w:tab w:val="left" w:pos="11482"/>
        </w:tabs>
        <w:ind w:left="-426" w:right="-362"/>
        <w:jc w:val="center"/>
        <w:rPr>
          <w:rFonts w:ascii="Times New Roman" w:hAnsi="Times New Roman"/>
          <w:color w:val="auto"/>
          <w:sz w:val="14"/>
          <w:lang w:val="en-US"/>
        </w:rPr>
      </w:pPr>
    </w:p>
    <w:p w:rsidR="00BA40D6" w:rsidRPr="006022FC" w:rsidRDefault="00BA40D6" w:rsidP="00BA40D6">
      <w:pPr>
        <w:ind w:left="-780" w:right="708"/>
        <w:rPr>
          <w:rFonts w:ascii="Times New Roman" w:hAnsi="Times New Roman"/>
          <w:iCs/>
          <w:lang w:val="en-US"/>
        </w:rPr>
      </w:pPr>
      <w:r w:rsidRPr="006022FC">
        <w:rPr>
          <w:rFonts w:ascii="Times New Roman" w:hAnsi="Times New Roman"/>
          <w:noProof/>
          <w:sz w:val="28"/>
          <w:lang w:eastAsia="it-IT"/>
        </w:rPr>
        <w:drawing>
          <wp:anchor distT="0" distB="0" distL="114300" distR="114300" simplePos="0" relativeHeight="251659264" behindDoc="0" locked="0" layoutInCell="1" allowOverlap="1">
            <wp:simplePos x="0" y="0"/>
            <wp:positionH relativeFrom="column">
              <wp:posOffset>1584960</wp:posOffset>
            </wp:positionH>
            <wp:positionV relativeFrom="paragraph">
              <wp:posOffset>27940</wp:posOffset>
            </wp:positionV>
            <wp:extent cx="3368040" cy="2086610"/>
            <wp:effectExtent l="0" t="0" r="0" b="0"/>
            <wp:wrapNone/>
            <wp:docPr id="1" name="Immagine 1"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ONTORNA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8040" cy="2086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0D6" w:rsidRPr="006022FC" w:rsidRDefault="00BA40D6" w:rsidP="00BA40D6">
      <w:pPr>
        <w:ind w:left="-780" w:right="708"/>
        <w:rPr>
          <w:rFonts w:ascii="Times New Roman" w:hAnsi="Times New Roman"/>
          <w:iCs/>
          <w:lang w:val="en-US"/>
        </w:rPr>
      </w:pPr>
    </w:p>
    <w:p w:rsidR="00BA40D6" w:rsidRPr="006022FC" w:rsidRDefault="00BA40D6" w:rsidP="00BA40D6">
      <w:pPr>
        <w:ind w:left="-780" w:right="708"/>
        <w:rPr>
          <w:rFonts w:ascii="Times New Roman" w:hAnsi="Times New Roman"/>
          <w:iCs/>
          <w:lang w:val="en-US"/>
        </w:rPr>
      </w:pPr>
    </w:p>
    <w:p w:rsidR="00BA40D6" w:rsidRPr="006022FC" w:rsidRDefault="00BA40D6" w:rsidP="00BA40D6">
      <w:pPr>
        <w:ind w:left="-780" w:right="708"/>
        <w:rPr>
          <w:rFonts w:ascii="Times New Roman" w:hAnsi="Times New Roman"/>
          <w:iCs/>
          <w:lang w:val="en-US"/>
        </w:rPr>
      </w:pPr>
    </w:p>
    <w:p w:rsidR="00BA40D6" w:rsidRPr="006022FC" w:rsidRDefault="00BA40D6" w:rsidP="00BA40D6">
      <w:pPr>
        <w:ind w:left="-780" w:right="708"/>
        <w:rPr>
          <w:rFonts w:ascii="Times New Roman" w:hAnsi="Times New Roman"/>
          <w:iCs/>
          <w:lang w:val="en-US"/>
        </w:rPr>
      </w:pPr>
    </w:p>
    <w:p w:rsidR="00BA40D6" w:rsidRPr="006022FC" w:rsidRDefault="00BA40D6" w:rsidP="00BA40D6">
      <w:pPr>
        <w:ind w:left="-780" w:right="708"/>
        <w:rPr>
          <w:rFonts w:ascii="Times New Roman" w:hAnsi="Times New Roman"/>
          <w:iCs/>
          <w:lang w:val="en-US"/>
        </w:rPr>
      </w:pPr>
    </w:p>
    <w:p w:rsidR="00BA40D6" w:rsidRPr="006022FC" w:rsidRDefault="00BA40D6" w:rsidP="00BA40D6">
      <w:pPr>
        <w:ind w:left="-780" w:right="708"/>
        <w:rPr>
          <w:rFonts w:ascii="Times New Roman" w:hAnsi="Times New Roman"/>
          <w:iCs/>
          <w:lang w:val="en-US"/>
        </w:rPr>
      </w:pPr>
    </w:p>
    <w:p w:rsidR="00BA40D6" w:rsidRPr="006022FC" w:rsidRDefault="00BA40D6" w:rsidP="00BA40D6">
      <w:pPr>
        <w:jc w:val="both"/>
        <w:rPr>
          <w:rFonts w:ascii="Times New Roman" w:hAnsi="Times New Roman"/>
          <w:bCs/>
          <w:i/>
          <w:iCs/>
        </w:rPr>
      </w:pPr>
    </w:p>
    <w:p w:rsidR="00BA40D6" w:rsidRPr="006022FC" w:rsidRDefault="00BA40D6" w:rsidP="00BA40D6">
      <w:pPr>
        <w:jc w:val="both"/>
        <w:rPr>
          <w:rFonts w:ascii="Times New Roman" w:hAnsi="Times New Roman"/>
          <w:bCs/>
          <w:i/>
          <w:iCs/>
        </w:rPr>
      </w:pPr>
    </w:p>
    <w:p w:rsidR="00BA40D6" w:rsidRPr="006022FC" w:rsidRDefault="00BA40D6" w:rsidP="00BA40D6">
      <w:pPr>
        <w:jc w:val="both"/>
        <w:rPr>
          <w:rFonts w:ascii="Times New Roman" w:hAnsi="Times New Roman"/>
          <w:bCs/>
          <w:i/>
          <w:iCs/>
        </w:rPr>
      </w:pPr>
    </w:p>
    <w:p w:rsidR="00BA40D6" w:rsidRPr="006022FC" w:rsidRDefault="00BA40D6" w:rsidP="00BA40D6">
      <w:pPr>
        <w:pBdr>
          <w:top w:val="thinThickSmallGap" w:sz="12" w:space="1" w:color="0000FF"/>
          <w:left w:val="thinThickSmallGap" w:sz="12" w:space="0" w:color="0000FF"/>
          <w:bottom w:val="thickThinSmallGap" w:sz="12" w:space="1" w:color="0000FF"/>
          <w:right w:val="thickThinSmallGap" w:sz="12" w:space="0" w:color="0000FF"/>
        </w:pBdr>
        <w:jc w:val="both"/>
        <w:rPr>
          <w:rFonts w:ascii="Times New Roman" w:hAnsi="Times New Roman"/>
          <w:bCs/>
          <w:i/>
          <w:iCs/>
        </w:rPr>
      </w:pPr>
    </w:p>
    <w:p w:rsidR="00BA40D6" w:rsidRPr="006022FC" w:rsidRDefault="00BA40D6" w:rsidP="00BA40D6">
      <w:pPr>
        <w:pBdr>
          <w:top w:val="thinThickSmallGap" w:sz="12" w:space="1" w:color="0000FF"/>
          <w:left w:val="thinThickSmallGap" w:sz="12" w:space="0" w:color="0000FF"/>
          <w:bottom w:val="thickThinSmallGap" w:sz="12" w:space="1" w:color="0000FF"/>
          <w:right w:val="thickThinSmallGap" w:sz="12" w:space="0" w:color="0000FF"/>
        </w:pBdr>
        <w:jc w:val="both"/>
        <w:rPr>
          <w:rFonts w:ascii="Times New Roman" w:hAnsi="Times New Roman"/>
          <w:bCs/>
          <w:i/>
          <w:iCs/>
        </w:rPr>
      </w:pPr>
    </w:p>
    <w:p w:rsidR="00BA40D6" w:rsidRPr="006022FC" w:rsidRDefault="003A4311" w:rsidP="00BA40D6">
      <w:pPr>
        <w:pBdr>
          <w:top w:val="thinThickSmallGap" w:sz="12" w:space="1" w:color="0000FF"/>
          <w:left w:val="thinThickSmallGap" w:sz="12" w:space="0" w:color="0000FF"/>
          <w:bottom w:val="thickThinSmallGap" w:sz="12" w:space="1" w:color="0000FF"/>
          <w:right w:val="thickThinSmallGap" w:sz="12" w:space="0" w:color="0000FF"/>
        </w:pBdr>
        <w:spacing w:line="360" w:lineRule="auto"/>
        <w:jc w:val="center"/>
        <w:rPr>
          <w:rFonts w:ascii="Times New Roman" w:hAnsi="Times New Roman"/>
          <w:b/>
          <w:bCs/>
          <w:i/>
          <w:iCs/>
          <w:sz w:val="38"/>
          <w:szCs w:val="38"/>
          <w:u w:val="single"/>
        </w:rPr>
      </w:pPr>
      <w:r>
        <w:rPr>
          <w:rFonts w:ascii="Times New Roman" w:hAnsi="Times New Roman"/>
          <w:b/>
          <w:bCs/>
          <w:i/>
          <w:iCs/>
          <w:sz w:val="38"/>
          <w:szCs w:val="38"/>
          <w:u w:val="single"/>
        </w:rPr>
        <w:t>NOTA INTEGRATIVA</w:t>
      </w:r>
      <w:r w:rsidR="00BA40D6" w:rsidRPr="006022FC">
        <w:rPr>
          <w:rFonts w:ascii="Times New Roman" w:hAnsi="Times New Roman"/>
          <w:b/>
          <w:bCs/>
          <w:i/>
          <w:iCs/>
          <w:sz w:val="38"/>
          <w:szCs w:val="38"/>
          <w:u w:val="single"/>
        </w:rPr>
        <w:t xml:space="preserve"> AL CONTO ECONOMICO PREVISIONALE 2017</w:t>
      </w:r>
    </w:p>
    <w:p w:rsidR="00BA40D6" w:rsidRPr="006022FC" w:rsidRDefault="00BA40D6" w:rsidP="00BA40D6">
      <w:pPr>
        <w:pBdr>
          <w:top w:val="thinThickSmallGap" w:sz="12" w:space="1" w:color="0000FF"/>
          <w:left w:val="thinThickSmallGap" w:sz="12" w:space="0" w:color="0000FF"/>
          <w:bottom w:val="thickThinSmallGap" w:sz="12" w:space="1" w:color="0000FF"/>
          <w:right w:val="thickThinSmallGap" w:sz="12" w:space="0" w:color="0000FF"/>
        </w:pBdr>
        <w:jc w:val="center"/>
        <w:rPr>
          <w:rFonts w:ascii="Times New Roman" w:hAnsi="Times New Roman"/>
          <w:bCs/>
          <w:i/>
          <w:iCs/>
        </w:rPr>
      </w:pPr>
    </w:p>
    <w:p w:rsidR="00BA40D6" w:rsidRPr="006022FC" w:rsidRDefault="00BA40D6" w:rsidP="00BA40D6">
      <w:pPr>
        <w:pBdr>
          <w:top w:val="thinThickSmallGap" w:sz="12" w:space="1" w:color="0000FF"/>
          <w:left w:val="thinThickSmallGap" w:sz="12" w:space="0" w:color="0000FF"/>
          <w:bottom w:val="thickThinSmallGap" w:sz="12" w:space="1" w:color="0000FF"/>
          <w:right w:val="thickThinSmallGap" w:sz="12" w:space="0" w:color="0000FF"/>
        </w:pBdr>
        <w:jc w:val="both"/>
        <w:rPr>
          <w:rFonts w:ascii="Times New Roman" w:hAnsi="Times New Roman"/>
          <w:bCs/>
          <w:i/>
          <w:iCs/>
        </w:rPr>
      </w:pPr>
    </w:p>
    <w:p w:rsidR="00BA40D6" w:rsidRPr="006022FC" w:rsidRDefault="00BA40D6" w:rsidP="00BA40D6">
      <w:pPr>
        <w:jc w:val="both"/>
        <w:rPr>
          <w:rFonts w:ascii="Times New Roman" w:hAnsi="Times New Roman"/>
          <w:bCs/>
          <w:i/>
          <w:iCs/>
        </w:rPr>
      </w:pPr>
    </w:p>
    <w:p w:rsidR="00BA40D6" w:rsidRPr="006022FC" w:rsidRDefault="00BA40D6" w:rsidP="00BA40D6">
      <w:pPr>
        <w:jc w:val="both"/>
        <w:rPr>
          <w:rFonts w:ascii="Times New Roman" w:hAnsi="Times New Roman"/>
          <w:bCs/>
          <w:i/>
          <w:iCs/>
        </w:rPr>
      </w:pPr>
    </w:p>
    <w:p w:rsidR="00BA40D6" w:rsidRPr="006022FC" w:rsidRDefault="00BA40D6" w:rsidP="00BA40D6">
      <w:pPr>
        <w:jc w:val="both"/>
        <w:rPr>
          <w:rFonts w:ascii="Times New Roman" w:hAnsi="Times New Roman"/>
          <w:bCs/>
          <w:i/>
          <w:iCs/>
        </w:rPr>
      </w:pPr>
    </w:p>
    <w:p w:rsidR="00BA40D6" w:rsidRPr="006022FC" w:rsidRDefault="00BA40D6">
      <w:pPr>
        <w:spacing w:after="0" w:line="240" w:lineRule="auto"/>
        <w:rPr>
          <w:rFonts w:ascii="Times New Roman" w:eastAsia="Times New Roman" w:hAnsi="Times New Roman"/>
          <w:b/>
          <w:bCs/>
          <w:sz w:val="28"/>
          <w:szCs w:val="28"/>
          <w:lang w:eastAsia="it-IT"/>
        </w:rPr>
      </w:pPr>
      <w:r w:rsidRPr="006022FC">
        <w:rPr>
          <w:rFonts w:ascii="Times New Roman" w:hAnsi="Times New Roman"/>
        </w:rPr>
        <w:br w:type="page"/>
      </w:r>
    </w:p>
    <w:p w:rsidR="00BA40D6" w:rsidRPr="006022FC" w:rsidRDefault="00BA40D6">
      <w:pPr>
        <w:pStyle w:val="Titolosommario"/>
        <w:rPr>
          <w:rFonts w:ascii="Times New Roman" w:hAnsi="Times New Roman"/>
          <w:color w:val="auto"/>
        </w:rPr>
      </w:pPr>
    </w:p>
    <w:p w:rsidR="00CC2D2B" w:rsidRPr="006022FC" w:rsidRDefault="00CC2D2B">
      <w:pPr>
        <w:pStyle w:val="Titolosommario"/>
        <w:rPr>
          <w:rFonts w:ascii="Times New Roman" w:hAnsi="Times New Roman"/>
          <w:color w:val="auto"/>
        </w:rPr>
      </w:pPr>
      <w:r w:rsidRPr="006022FC">
        <w:rPr>
          <w:rFonts w:ascii="Times New Roman" w:hAnsi="Times New Roman"/>
          <w:color w:val="auto"/>
        </w:rPr>
        <w:t>Sommario</w:t>
      </w:r>
    </w:p>
    <w:p w:rsidR="00CC2D2B" w:rsidRPr="006022FC" w:rsidRDefault="00CC2D2B" w:rsidP="00973874">
      <w:pPr>
        <w:pStyle w:val="Sommario2"/>
        <w:rPr>
          <w:rStyle w:val="Collegamentoipertestuale"/>
          <w:color w:val="auto"/>
        </w:rPr>
      </w:pPr>
      <w:r w:rsidRPr="006022FC">
        <w:rPr>
          <w:rStyle w:val="Collegamentoipertestuale"/>
          <w:color w:val="auto"/>
        </w:rPr>
        <w:fldChar w:fldCharType="begin"/>
      </w:r>
      <w:r w:rsidRPr="006022FC">
        <w:rPr>
          <w:rStyle w:val="Collegamentoipertestuale"/>
          <w:color w:val="auto"/>
        </w:rPr>
        <w:instrText xml:space="preserve"> TOC \o "1-3" \h \z \u </w:instrText>
      </w:r>
      <w:r w:rsidRPr="006022FC">
        <w:rPr>
          <w:rStyle w:val="Collegamentoipertestuale"/>
          <w:color w:val="auto"/>
        </w:rPr>
        <w:fldChar w:fldCharType="separate"/>
      </w:r>
    </w:p>
    <w:p w:rsidR="00CC2D2B" w:rsidRPr="006022FC" w:rsidRDefault="00E45396" w:rsidP="00973874">
      <w:pPr>
        <w:pStyle w:val="Sommario2"/>
        <w:rPr>
          <w:rStyle w:val="Collegamentoipertestuale"/>
          <w:color w:val="auto"/>
        </w:rPr>
      </w:pPr>
      <w:hyperlink w:anchor="_Toc434913343" w:history="1">
        <w:r w:rsidR="00CC2D2B" w:rsidRPr="006022FC">
          <w:rPr>
            <w:rStyle w:val="Collegamentoipertestuale"/>
            <w:color w:val="auto"/>
          </w:rPr>
          <w:t>Riferimenti normativi</w:t>
        </w:r>
      </w:hyperlink>
    </w:p>
    <w:p w:rsidR="00CC2D2B" w:rsidRPr="006022FC" w:rsidRDefault="00E45396" w:rsidP="00973874">
      <w:pPr>
        <w:pStyle w:val="Sommario2"/>
        <w:rPr>
          <w:rStyle w:val="Collegamentoipertestuale"/>
          <w:color w:val="auto"/>
        </w:rPr>
      </w:pPr>
      <w:hyperlink w:anchor="_Toc434913344" w:history="1">
        <w:r w:rsidR="00CC2D2B" w:rsidRPr="006022FC">
          <w:rPr>
            <w:rStyle w:val="Collegamentoipertestuale"/>
            <w:color w:val="auto"/>
          </w:rPr>
          <w:t>Aspetti metodologici</w:t>
        </w:r>
      </w:hyperlink>
    </w:p>
    <w:p w:rsidR="00973874" w:rsidRPr="006022FC" w:rsidRDefault="00973874" w:rsidP="00973874"/>
    <w:p w:rsidR="00CC2D2B" w:rsidRPr="006022FC" w:rsidRDefault="00E45396" w:rsidP="00973874">
      <w:pPr>
        <w:pStyle w:val="Sommario2"/>
        <w:rPr>
          <w:rStyle w:val="Collegamentoipertestuale"/>
          <w:b/>
          <w:i w:val="0"/>
          <w:color w:val="auto"/>
          <w:sz w:val="32"/>
          <w:szCs w:val="32"/>
        </w:rPr>
      </w:pPr>
      <w:hyperlink w:anchor="_Toc434913359" w:history="1">
        <w:r w:rsidR="00CC2D2B" w:rsidRPr="006022FC">
          <w:rPr>
            <w:rStyle w:val="Collegamentoipertestuale"/>
            <w:b/>
            <w:i w:val="0"/>
            <w:color w:val="auto"/>
            <w:sz w:val="32"/>
            <w:szCs w:val="32"/>
          </w:rPr>
          <w:t>Conto Economico</w:t>
        </w:r>
      </w:hyperlink>
    </w:p>
    <w:p w:rsidR="00973874" w:rsidRPr="006022FC" w:rsidRDefault="00973874" w:rsidP="00973874"/>
    <w:p w:rsidR="00CC2D2B" w:rsidRPr="006022FC" w:rsidRDefault="00E45396" w:rsidP="00973874">
      <w:pPr>
        <w:pStyle w:val="Sommario2"/>
        <w:rPr>
          <w:rStyle w:val="Collegamentoipertestuale"/>
          <w:b/>
          <w:color w:val="auto"/>
        </w:rPr>
      </w:pPr>
      <w:hyperlink w:anchor="_Toc434913360" w:history="1">
        <w:r w:rsidR="00CC2D2B" w:rsidRPr="006022FC">
          <w:rPr>
            <w:rStyle w:val="Collegamentoipertestuale"/>
            <w:b/>
            <w:color w:val="auto"/>
          </w:rPr>
          <w:t>Valore della produzione</w:t>
        </w:r>
      </w:hyperlink>
    </w:p>
    <w:p w:rsidR="00CC2D2B" w:rsidRPr="006022FC" w:rsidRDefault="00973874" w:rsidP="00973874">
      <w:pPr>
        <w:pStyle w:val="Sommario2"/>
        <w:numPr>
          <w:ilvl w:val="0"/>
          <w:numId w:val="8"/>
        </w:numPr>
        <w:rPr>
          <w:rStyle w:val="Collegamentoipertestuale"/>
          <w:color w:val="auto"/>
        </w:rPr>
      </w:pPr>
      <w:r w:rsidRPr="006022FC">
        <w:rPr>
          <w:rStyle w:val="Collegamentoipertestuale"/>
          <w:color w:val="auto"/>
        </w:rPr>
        <w:tab/>
      </w:r>
      <w:hyperlink w:anchor="_Toc434913361" w:history="1">
        <w:r w:rsidR="00CC2D2B" w:rsidRPr="006022FC">
          <w:rPr>
            <w:rStyle w:val="Collegamentoipertestuale"/>
            <w:color w:val="auto"/>
          </w:rPr>
          <w:t>Proventi da ruoli contributivi</w:t>
        </w:r>
      </w:hyperlink>
    </w:p>
    <w:p w:rsidR="00CC2D2B" w:rsidRPr="006022FC" w:rsidRDefault="00973874" w:rsidP="00973874">
      <w:pPr>
        <w:pStyle w:val="Sommario2"/>
        <w:numPr>
          <w:ilvl w:val="0"/>
          <w:numId w:val="8"/>
        </w:numPr>
        <w:rPr>
          <w:rStyle w:val="Collegamentoipertestuale"/>
          <w:color w:val="auto"/>
        </w:rPr>
      </w:pPr>
      <w:r w:rsidRPr="006022FC">
        <w:rPr>
          <w:rStyle w:val="Collegamentoipertestuale"/>
          <w:color w:val="auto"/>
        </w:rPr>
        <w:tab/>
      </w:r>
      <w:hyperlink w:anchor="_Toc434913362" w:history="1">
        <w:r w:rsidR="00CC2D2B" w:rsidRPr="006022FC">
          <w:rPr>
            <w:rStyle w:val="Collegamentoipertestuale"/>
            <w:color w:val="auto"/>
          </w:rPr>
          <w:t>Contributi manutenzione straordinaria su beni di terzi</w:t>
        </w:r>
      </w:hyperlink>
    </w:p>
    <w:p w:rsidR="00CC2D2B" w:rsidRPr="006022FC" w:rsidRDefault="00973874" w:rsidP="00973874">
      <w:pPr>
        <w:pStyle w:val="Sommario2"/>
        <w:numPr>
          <w:ilvl w:val="0"/>
          <w:numId w:val="8"/>
        </w:numPr>
        <w:rPr>
          <w:rStyle w:val="Collegamentoipertestuale"/>
          <w:color w:val="auto"/>
        </w:rPr>
      </w:pPr>
      <w:r w:rsidRPr="006022FC">
        <w:rPr>
          <w:rStyle w:val="Collegamentoipertestuale"/>
          <w:color w:val="auto"/>
        </w:rPr>
        <w:tab/>
      </w:r>
      <w:hyperlink w:anchor="_Toc434913363" w:history="1">
        <w:r w:rsidR="00CC2D2B" w:rsidRPr="006022FC">
          <w:rPr>
            <w:rStyle w:val="Collegamentoipertestuale"/>
            <w:color w:val="auto"/>
          </w:rPr>
          <w:t>Altri ricavi e proventi</w:t>
        </w:r>
      </w:hyperlink>
    </w:p>
    <w:p w:rsidR="00CC2D2B" w:rsidRPr="006022FC" w:rsidRDefault="00E45396" w:rsidP="00973874">
      <w:pPr>
        <w:pStyle w:val="Sommario2"/>
        <w:rPr>
          <w:rStyle w:val="Collegamentoipertestuale"/>
          <w:b/>
          <w:color w:val="auto"/>
        </w:rPr>
      </w:pPr>
      <w:hyperlink w:anchor="_Toc434913364" w:history="1">
        <w:r w:rsidR="00CC2D2B" w:rsidRPr="006022FC">
          <w:rPr>
            <w:rStyle w:val="Collegamentoipertestuale"/>
            <w:b/>
            <w:color w:val="auto"/>
          </w:rPr>
          <w:t>Costi della produzione</w:t>
        </w:r>
      </w:hyperlink>
    </w:p>
    <w:p w:rsidR="00CC2D2B" w:rsidRPr="006022FC" w:rsidRDefault="00973874" w:rsidP="00973874">
      <w:pPr>
        <w:pStyle w:val="Sommario2"/>
        <w:numPr>
          <w:ilvl w:val="0"/>
          <w:numId w:val="9"/>
        </w:numPr>
        <w:rPr>
          <w:rStyle w:val="Collegamentoipertestuale"/>
          <w:color w:val="auto"/>
        </w:rPr>
      </w:pPr>
      <w:r w:rsidRPr="006022FC">
        <w:rPr>
          <w:rStyle w:val="Collegamentoipertestuale"/>
          <w:color w:val="auto"/>
        </w:rPr>
        <w:tab/>
      </w:r>
      <w:hyperlink w:anchor="_Toc434913365" w:history="1">
        <w:r w:rsidR="00CC2D2B" w:rsidRPr="006022FC">
          <w:rPr>
            <w:rStyle w:val="Collegamentoipertestuale"/>
            <w:color w:val="auto"/>
          </w:rPr>
          <w:t>Acquisti di servizi</w:t>
        </w:r>
      </w:hyperlink>
    </w:p>
    <w:p w:rsidR="00CC2D2B" w:rsidRPr="006022FC" w:rsidRDefault="00973874" w:rsidP="00973874">
      <w:pPr>
        <w:pStyle w:val="Sommario2"/>
        <w:numPr>
          <w:ilvl w:val="0"/>
          <w:numId w:val="9"/>
        </w:numPr>
        <w:rPr>
          <w:rStyle w:val="Collegamentoipertestuale"/>
          <w:color w:val="auto"/>
        </w:rPr>
      </w:pPr>
      <w:r w:rsidRPr="006022FC">
        <w:rPr>
          <w:rStyle w:val="Collegamentoipertestuale"/>
          <w:color w:val="auto"/>
        </w:rPr>
        <w:tab/>
      </w:r>
      <w:hyperlink w:anchor="_Toc434913366" w:history="1">
        <w:r w:rsidR="00CC2D2B" w:rsidRPr="006022FC">
          <w:rPr>
            <w:rStyle w:val="Collegamentoipertestuale"/>
            <w:color w:val="auto"/>
          </w:rPr>
          <w:t>Personale</w:t>
        </w:r>
      </w:hyperlink>
    </w:p>
    <w:p w:rsidR="00CC2D2B" w:rsidRPr="006022FC" w:rsidRDefault="00973874" w:rsidP="00973874">
      <w:pPr>
        <w:pStyle w:val="Sommario2"/>
        <w:numPr>
          <w:ilvl w:val="0"/>
          <w:numId w:val="9"/>
        </w:numPr>
        <w:rPr>
          <w:rStyle w:val="Collegamentoipertestuale"/>
          <w:color w:val="auto"/>
        </w:rPr>
      </w:pPr>
      <w:r w:rsidRPr="006022FC">
        <w:rPr>
          <w:rStyle w:val="Collegamentoipertestuale"/>
          <w:color w:val="auto"/>
        </w:rPr>
        <w:tab/>
      </w:r>
      <w:hyperlink w:anchor="_Toc434913367" w:history="1">
        <w:r w:rsidR="00CC2D2B" w:rsidRPr="006022FC">
          <w:rPr>
            <w:rStyle w:val="Collegamentoipertestuale"/>
            <w:color w:val="auto"/>
          </w:rPr>
          <w:t>Quote di ammortamento e svalutazioni</w:t>
        </w:r>
      </w:hyperlink>
    </w:p>
    <w:p w:rsidR="00CC2D2B" w:rsidRPr="006022FC" w:rsidRDefault="00973874" w:rsidP="00973874">
      <w:pPr>
        <w:pStyle w:val="Sommario2"/>
        <w:numPr>
          <w:ilvl w:val="0"/>
          <w:numId w:val="9"/>
        </w:numPr>
        <w:rPr>
          <w:rStyle w:val="Collegamentoipertestuale"/>
          <w:color w:val="auto"/>
        </w:rPr>
      </w:pPr>
      <w:r w:rsidRPr="006022FC">
        <w:rPr>
          <w:rStyle w:val="Collegamentoipertestuale"/>
          <w:color w:val="auto"/>
        </w:rPr>
        <w:tab/>
      </w:r>
      <w:hyperlink w:anchor="_Toc434913368" w:history="1">
        <w:r w:rsidR="00CC2D2B" w:rsidRPr="006022FC">
          <w:rPr>
            <w:rStyle w:val="Collegamentoipertestuale"/>
            <w:color w:val="auto"/>
          </w:rPr>
          <w:t>Accantonamenti per rischi ed oneri</w:t>
        </w:r>
      </w:hyperlink>
    </w:p>
    <w:p w:rsidR="00CC2D2B" w:rsidRPr="006022FC" w:rsidRDefault="00973874" w:rsidP="00973874">
      <w:pPr>
        <w:pStyle w:val="Sommario2"/>
        <w:numPr>
          <w:ilvl w:val="0"/>
          <w:numId w:val="9"/>
        </w:numPr>
        <w:rPr>
          <w:rStyle w:val="Collegamentoipertestuale"/>
          <w:color w:val="auto"/>
        </w:rPr>
      </w:pPr>
      <w:r w:rsidRPr="006022FC">
        <w:rPr>
          <w:rStyle w:val="Collegamentoipertestuale"/>
          <w:color w:val="auto"/>
        </w:rPr>
        <w:tab/>
      </w:r>
      <w:hyperlink w:anchor="_Toc434913369" w:history="1">
        <w:r w:rsidR="00CC2D2B" w:rsidRPr="006022FC">
          <w:rPr>
            <w:rStyle w:val="Collegamentoipertestuale"/>
            <w:color w:val="auto"/>
          </w:rPr>
          <w:t>Oneri diversi di gestione</w:t>
        </w:r>
      </w:hyperlink>
    </w:p>
    <w:p w:rsidR="00CC2D2B" w:rsidRPr="006022FC" w:rsidRDefault="00973874" w:rsidP="00973874">
      <w:pPr>
        <w:pStyle w:val="Sommario2"/>
        <w:numPr>
          <w:ilvl w:val="0"/>
          <w:numId w:val="9"/>
        </w:numPr>
        <w:rPr>
          <w:rStyle w:val="Collegamentoipertestuale"/>
          <w:color w:val="auto"/>
        </w:rPr>
      </w:pPr>
      <w:r w:rsidRPr="006022FC">
        <w:rPr>
          <w:rStyle w:val="Collegamentoipertestuale"/>
          <w:color w:val="auto"/>
        </w:rPr>
        <w:tab/>
      </w:r>
      <w:hyperlink w:anchor="_Toc434913370" w:history="1">
        <w:r w:rsidR="00CC2D2B" w:rsidRPr="006022FC">
          <w:rPr>
            <w:rStyle w:val="Collegamentoipertestuale"/>
            <w:color w:val="auto"/>
          </w:rPr>
          <w:t>Proventi ed oneri finanziari</w:t>
        </w:r>
      </w:hyperlink>
    </w:p>
    <w:p w:rsidR="00CC2D2B" w:rsidRPr="006022FC" w:rsidRDefault="00973874" w:rsidP="00973874">
      <w:pPr>
        <w:pStyle w:val="Sommario2"/>
        <w:numPr>
          <w:ilvl w:val="0"/>
          <w:numId w:val="9"/>
        </w:numPr>
        <w:rPr>
          <w:rStyle w:val="Collegamentoipertestuale"/>
          <w:color w:val="auto"/>
        </w:rPr>
      </w:pPr>
      <w:r w:rsidRPr="006022FC">
        <w:rPr>
          <w:rStyle w:val="Collegamentoipertestuale"/>
          <w:color w:val="auto"/>
        </w:rPr>
        <w:tab/>
      </w:r>
      <w:hyperlink w:anchor="_Toc434913372" w:history="1">
        <w:r w:rsidR="00CC2D2B" w:rsidRPr="006022FC">
          <w:rPr>
            <w:rStyle w:val="Collegamentoipertestuale"/>
            <w:color w:val="auto"/>
          </w:rPr>
          <w:t>Proventi ed oneri straordinari</w:t>
        </w:r>
      </w:hyperlink>
    </w:p>
    <w:p w:rsidR="00CC2D2B" w:rsidRPr="006022FC" w:rsidRDefault="00973874" w:rsidP="00973874">
      <w:pPr>
        <w:pStyle w:val="Sommario2"/>
        <w:numPr>
          <w:ilvl w:val="0"/>
          <w:numId w:val="9"/>
        </w:numPr>
        <w:rPr>
          <w:rStyle w:val="Collegamentoipertestuale"/>
          <w:color w:val="auto"/>
        </w:rPr>
      </w:pPr>
      <w:r w:rsidRPr="006022FC">
        <w:rPr>
          <w:rStyle w:val="Collegamentoipertestuale"/>
          <w:color w:val="auto"/>
        </w:rPr>
        <w:tab/>
      </w:r>
      <w:hyperlink w:anchor="_Toc434913373" w:history="1">
        <w:r w:rsidR="00CC2D2B" w:rsidRPr="006022FC">
          <w:rPr>
            <w:rStyle w:val="Collegamentoipertestuale"/>
            <w:color w:val="auto"/>
          </w:rPr>
          <w:t>Imposte e tasse</w:t>
        </w:r>
      </w:hyperlink>
    </w:p>
    <w:p w:rsidR="00CC2D2B" w:rsidRPr="006022FC" w:rsidRDefault="00CC2D2B" w:rsidP="00973874">
      <w:pPr>
        <w:pStyle w:val="Sommario2"/>
      </w:pPr>
      <w:r w:rsidRPr="006022FC">
        <w:rPr>
          <w:rStyle w:val="Collegamentoipertestuale"/>
          <w:color w:val="auto"/>
        </w:rPr>
        <w:fldChar w:fldCharType="end"/>
      </w:r>
    </w:p>
    <w:p w:rsidR="00973874" w:rsidRPr="006022FC" w:rsidRDefault="00973874">
      <w:pPr>
        <w:spacing w:after="0" w:line="240" w:lineRule="auto"/>
        <w:rPr>
          <w:rFonts w:ascii="Times New Roman" w:hAnsi="Times New Roman"/>
        </w:rPr>
      </w:pPr>
      <w:r w:rsidRPr="006022FC">
        <w:rPr>
          <w:rFonts w:ascii="Times New Roman" w:hAnsi="Times New Roman"/>
        </w:rPr>
        <w:br w:type="page"/>
      </w:r>
    </w:p>
    <w:p w:rsidR="00CC2D2B" w:rsidRPr="006022FC" w:rsidRDefault="00CC2D2B" w:rsidP="00C61388">
      <w:pPr>
        <w:jc w:val="both"/>
        <w:rPr>
          <w:rFonts w:ascii="Times New Roman" w:hAnsi="Times New Roman"/>
        </w:rPr>
      </w:pPr>
    </w:p>
    <w:p w:rsidR="00CC2D2B" w:rsidRPr="006022FC" w:rsidRDefault="00CC2D2B" w:rsidP="00E45396">
      <w:pPr>
        <w:pStyle w:val="Titolo1"/>
        <w:jc w:val="both"/>
        <w:rPr>
          <w:rFonts w:ascii="Times New Roman" w:hAnsi="Times New Roman"/>
          <w:color w:val="auto"/>
        </w:rPr>
      </w:pPr>
      <w:bookmarkStart w:id="0" w:name="_Toc434913342"/>
      <w:r w:rsidRPr="006022FC">
        <w:rPr>
          <w:rFonts w:ascii="Times New Roman" w:hAnsi="Times New Roman"/>
          <w:color w:val="auto"/>
        </w:rPr>
        <w:t>Introduzione</w:t>
      </w:r>
      <w:bookmarkEnd w:id="0"/>
    </w:p>
    <w:p w:rsidR="00CC2D2B" w:rsidRPr="006022FC" w:rsidRDefault="00CC2D2B" w:rsidP="00C61388">
      <w:pPr>
        <w:jc w:val="both"/>
        <w:rPr>
          <w:rFonts w:ascii="Times New Roman" w:hAnsi="Times New Roman"/>
        </w:rPr>
      </w:pPr>
    </w:p>
    <w:p w:rsidR="00CC2D2B" w:rsidRPr="006022FC" w:rsidRDefault="00CC2D2B" w:rsidP="00E45396">
      <w:pPr>
        <w:pStyle w:val="Titolo2"/>
        <w:jc w:val="both"/>
        <w:rPr>
          <w:rFonts w:ascii="Times New Roman" w:hAnsi="Times New Roman"/>
          <w:color w:val="auto"/>
        </w:rPr>
      </w:pPr>
      <w:bookmarkStart w:id="1" w:name="_Toc434913343"/>
      <w:r w:rsidRPr="006022FC">
        <w:rPr>
          <w:rFonts w:ascii="Times New Roman" w:hAnsi="Times New Roman"/>
          <w:color w:val="auto"/>
        </w:rPr>
        <w:t>Riferimenti normativi</w:t>
      </w:r>
      <w:bookmarkEnd w:id="1"/>
    </w:p>
    <w:p w:rsidR="00CC2D2B" w:rsidRPr="006022FC" w:rsidRDefault="00CC2D2B" w:rsidP="00C61388">
      <w:pPr>
        <w:jc w:val="both"/>
        <w:rPr>
          <w:rFonts w:ascii="Times New Roman" w:hAnsi="Times New Roman"/>
        </w:rPr>
      </w:pPr>
    </w:p>
    <w:p w:rsidR="002B6CA3" w:rsidRPr="006022FC" w:rsidRDefault="00CC2D2B" w:rsidP="00C61388">
      <w:pPr>
        <w:jc w:val="both"/>
        <w:rPr>
          <w:rFonts w:ascii="Times New Roman" w:hAnsi="Times New Roman"/>
        </w:rPr>
      </w:pPr>
      <w:r w:rsidRPr="006022FC">
        <w:rPr>
          <w:rFonts w:ascii="Times New Roman" w:hAnsi="Times New Roman"/>
        </w:rPr>
        <w:t>Questa Relazione, allegata al Bilancio Preventivo Economico</w:t>
      </w:r>
      <w:r w:rsidR="00973874" w:rsidRPr="006022FC">
        <w:rPr>
          <w:rFonts w:ascii="Times New Roman" w:hAnsi="Times New Roman"/>
        </w:rPr>
        <w:t xml:space="preserve"> 2017 o Budget previsionale 2017</w:t>
      </w:r>
      <w:r w:rsidRPr="006022FC">
        <w:rPr>
          <w:rFonts w:ascii="Times New Roman" w:hAnsi="Times New Roman"/>
        </w:rPr>
        <w:t>, è stata redatta secondo quanto indicato in “Allegato 1 – Schemi di bilancio e relazioni dell’Organo di Amministrazione” della Delibera G.R. n. 835 del 6.10.2014 avente ad oggetto “L.R. 7</w:t>
      </w:r>
      <w:r w:rsidR="006022FC">
        <w:rPr>
          <w:rFonts w:ascii="Times New Roman" w:hAnsi="Times New Roman"/>
        </w:rPr>
        <w:t xml:space="preserve">9/2012, art. 22 comma 2, </w:t>
      </w:r>
      <w:proofErr w:type="spellStart"/>
      <w:r w:rsidR="006022FC">
        <w:rPr>
          <w:rFonts w:ascii="Times New Roman" w:hAnsi="Times New Roman"/>
        </w:rPr>
        <w:t>lett</w:t>
      </w:r>
      <w:proofErr w:type="spellEnd"/>
      <w:r w:rsidR="006022FC">
        <w:rPr>
          <w:rFonts w:ascii="Times New Roman" w:hAnsi="Times New Roman"/>
        </w:rPr>
        <w:t>. m</w:t>
      </w:r>
      <w:r w:rsidRPr="006022FC">
        <w:rPr>
          <w:rFonts w:ascii="Times New Roman" w:hAnsi="Times New Roman"/>
        </w:rPr>
        <w:t xml:space="preserve">): Direttive per l’armonizzazione ed uniforme redazione dei bilanci preventivi e d’esercizio dei Consorzi di Bonifica Regionali, mediante schemi di </w:t>
      </w:r>
      <w:r w:rsidR="002B6CA3" w:rsidRPr="006022FC">
        <w:rPr>
          <w:rFonts w:ascii="Times New Roman" w:hAnsi="Times New Roman"/>
        </w:rPr>
        <w:t>bilancio e principi contabili”.</w:t>
      </w:r>
    </w:p>
    <w:p w:rsidR="00CC2D2B" w:rsidRPr="006022FC" w:rsidRDefault="00CC2D2B" w:rsidP="00C61388">
      <w:pPr>
        <w:jc w:val="both"/>
        <w:rPr>
          <w:rFonts w:ascii="Times New Roman" w:hAnsi="Times New Roman"/>
        </w:rPr>
      </w:pPr>
      <w:r w:rsidRPr="006022FC">
        <w:rPr>
          <w:rFonts w:ascii="Times New Roman" w:hAnsi="Times New Roman"/>
        </w:rPr>
        <w:t>Le valutazioni di carattere economico finanziario sono state effettuate secondo quanto disposto dall’Allegato 3 della citata delibera – Manuale operativo di rilevazione delle operazioni di gestione e applicazione dei principi contabili dei Consorzi di Bonifica (d’ora in poi, anche Manuale).  Per la contabilizzazione delle operazioni previsionali 201</w:t>
      </w:r>
      <w:r w:rsidR="006022FC">
        <w:rPr>
          <w:rFonts w:ascii="Times New Roman" w:hAnsi="Times New Roman"/>
        </w:rPr>
        <w:t>7</w:t>
      </w:r>
      <w:r w:rsidRPr="006022FC">
        <w:rPr>
          <w:rFonts w:ascii="Times New Roman" w:hAnsi="Times New Roman"/>
        </w:rPr>
        <w:t xml:space="preserve"> è stato seguito il principio della competenza economica, in base al quale i costi di acquisizione delle risorse sono registrati in relazione all’effettivo utilizzo e i proventi nel </w:t>
      </w:r>
      <w:proofErr w:type="gramStart"/>
      <w:r w:rsidRPr="006022FC">
        <w:rPr>
          <w:rFonts w:ascii="Times New Roman" w:hAnsi="Times New Roman"/>
        </w:rPr>
        <w:t>momento  in</w:t>
      </w:r>
      <w:proofErr w:type="gramEnd"/>
      <w:r w:rsidRPr="006022FC">
        <w:rPr>
          <w:rFonts w:ascii="Times New Roman" w:hAnsi="Times New Roman"/>
        </w:rPr>
        <w:t xml:space="preserve">  cui  sono  effettivamente maturati.  </w:t>
      </w:r>
    </w:p>
    <w:p w:rsidR="00CC2D2B" w:rsidRPr="006022FC" w:rsidRDefault="006022FC" w:rsidP="00C61388">
      <w:pPr>
        <w:jc w:val="both"/>
        <w:rPr>
          <w:rFonts w:ascii="Times New Roman" w:hAnsi="Times New Roman"/>
        </w:rPr>
      </w:pPr>
      <w:r>
        <w:rPr>
          <w:rFonts w:ascii="Times New Roman" w:hAnsi="Times New Roman"/>
        </w:rPr>
        <w:t xml:space="preserve">Tale Nota integrativa si limita ad analizzare i dati contenuti nel </w:t>
      </w:r>
      <w:r w:rsidR="0003349B">
        <w:rPr>
          <w:rFonts w:ascii="Times New Roman" w:hAnsi="Times New Roman"/>
        </w:rPr>
        <w:t>Budget economico 2017 atteso che il Consorzio provvederà ad approvare il solo Budget Previsionale 2017.</w:t>
      </w:r>
    </w:p>
    <w:p w:rsidR="00CC2D2B" w:rsidRPr="006022FC" w:rsidRDefault="00CC2D2B" w:rsidP="00E45396">
      <w:pPr>
        <w:pStyle w:val="Titolo2"/>
        <w:jc w:val="both"/>
        <w:rPr>
          <w:rFonts w:ascii="Times New Roman" w:hAnsi="Times New Roman"/>
          <w:color w:val="auto"/>
        </w:rPr>
      </w:pPr>
      <w:bookmarkStart w:id="2" w:name="_Toc434913344"/>
      <w:r w:rsidRPr="006022FC">
        <w:rPr>
          <w:rFonts w:ascii="Times New Roman" w:hAnsi="Times New Roman"/>
          <w:color w:val="auto"/>
        </w:rPr>
        <w:t>Aspetti metodologici</w:t>
      </w:r>
      <w:bookmarkEnd w:id="2"/>
    </w:p>
    <w:p w:rsidR="00CC2D2B" w:rsidRPr="006022FC" w:rsidRDefault="00CC2D2B" w:rsidP="00C61388">
      <w:pPr>
        <w:jc w:val="both"/>
        <w:rPr>
          <w:rFonts w:ascii="Times New Roman" w:hAnsi="Times New Roman"/>
        </w:rPr>
      </w:pPr>
    </w:p>
    <w:p w:rsidR="00CC2D2B" w:rsidRPr="006022FC" w:rsidRDefault="00CC2D2B" w:rsidP="00C61388">
      <w:pPr>
        <w:jc w:val="both"/>
        <w:rPr>
          <w:rFonts w:ascii="Times New Roman" w:hAnsi="Times New Roman"/>
          <w:highlight w:val="yellow"/>
        </w:rPr>
      </w:pPr>
      <w:r w:rsidRPr="006022FC">
        <w:rPr>
          <w:rFonts w:ascii="Times New Roman" w:hAnsi="Times New Roman"/>
        </w:rPr>
        <w:t>I dati riportati nel conto economico previsionale 201</w:t>
      </w:r>
      <w:r w:rsidR="00973874" w:rsidRPr="006022FC">
        <w:rPr>
          <w:rFonts w:ascii="Times New Roman" w:hAnsi="Times New Roman"/>
        </w:rPr>
        <w:t>7</w:t>
      </w:r>
      <w:r w:rsidRPr="006022FC">
        <w:rPr>
          <w:rFonts w:ascii="Times New Roman" w:hAnsi="Times New Roman"/>
        </w:rPr>
        <w:t xml:space="preserve"> sono stati rilevati dal bilancio preventivo finanziario</w:t>
      </w:r>
      <w:r w:rsidR="002B6CA3" w:rsidRPr="006022FC">
        <w:rPr>
          <w:rFonts w:ascii="Times New Roman" w:hAnsi="Times New Roman"/>
        </w:rPr>
        <w:t xml:space="preserve"> 2017</w:t>
      </w:r>
      <w:r w:rsidR="006022FC">
        <w:rPr>
          <w:rFonts w:ascii="Times New Roman" w:hAnsi="Times New Roman"/>
        </w:rPr>
        <w:t>,</w:t>
      </w:r>
      <w:r w:rsidR="002B6CA3" w:rsidRPr="006022FC">
        <w:rPr>
          <w:rFonts w:ascii="Times New Roman" w:hAnsi="Times New Roman"/>
        </w:rPr>
        <w:t xml:space="preserve"> opportunamente riclassificato</w:t>
      </w:r>
      <w:r w:rsidR="00973874" w:rsidRPr="006022FC">
        <w:rPr>
          <w:rFonts w:ascii="Times New Roman" w:hAnsi="Times New Roman"/>
        </w:rPr>
        <w:t>.</w:t>
      </w:r>
      <w:r w:rsidRPr="006022FC">
        <w:rPr>
          <w:rFonts w:ascii="Times New Roman" w:hAnsi="Times New Roman"/>
        </w:rPr>
        <w:t xml:space="preserve"> I valori del bilancio preventivo finanziario sono stati quindi rielaborati ed integrati secondo una logica economico-patrimoniale.</w:t>
      </w:r>
    </w:p>
    <w:p w:rsidR="00CC2D2B" w:rsidRPr="006022FC" w:rsidRDefault="00CC2D2B" w:rsidP="00C61388">
      <w:pPr>
        <w:jc w:val="both"/>
        <w:rPr>
          <w:rFonts w:ascii="Times New Roman" w:hAnsi="Times New Roman"/>
        </w:rPr>
      </w:pPr>
      <w:r w:rsidRPr="006022FC">
        <w:rPr>
          <w:rFonts w:ascii="Times New Roman" w:hAnsi="Times New Roman"/>
        </w:rPr>
        <w:t>Naturalmente si è tenuto conto nel processo di determinazione dei valori del conto economico anche di quelle poste di bilancio che non trovano riscontro nel bilancio finanziario quali ad esempio gli ammortamenti, la consistenza iniziale e finale delle rimanenze la determinazione della competenza economica di operazioni pluriennali (ratei, risconti, costi e ricavi pluriennali), la determinazione di svalutazioni ed accantonamenti.</w:t>
      </w:r>
    </w:p>
    <w:p w:rsidR="00CC2D2B" w:rsidRPr="006022FC" w:rsidRDefault="00CC2D2B" w:rsidP="00C61388">
      <w:pPr>
        <w:jc w:val="both"/>
        <w:rPr>
          <w:rFonts w:ascii="Times New Roman" w:hAnsi="Times New Roman"/>
        </w:rPr>
      </w:pPr>
      <w:r w:rsidRPr="006022FC">
        <w:rPr>
          <w:rFonts w:ascii="Times New Roman" w:hAnsi="Times New Roman"/>
        </w:rPr>
        <w:t>In generale, pertanto, ogni movimento che trova allocazione nel bilancio previsionale finanziario 201</w:t>
      </w:r>
      <w:r w:rsidR="00973874" w:rsidRPr="006022FC">
        <w:rPr>
          <w:rFonts w:ascii="Times New Roman" w:hAnsi="Times New Roman"/>
        </w:rPr>
        <w:t>7</w:t>
      </w:r>
      <w:r w:rsidRPr="006022FC">
        <w:rPr>
          <w:rFonts w:ascii="Times New Roman" w:hAnsi="Times New Roman"/>
        </w:rPr>
        <w:t xml:space="preserve"> è stato reinterpretato secondo la logica della competenza annuale o pluriennale, dando vita nel bilancio economico 201</w:t>
      </w:r>
      <w:r w:rsidR="00973874" w:rsidRPr="006022FC">
        <w:rPr>
          <w:rFonts w:ascii="Times New Roman" w:hAnsi="Times New Roman"/>
        </w:rPr>
        <w:t>7</w:t>
      </w:r>
      <w:r w:rsidRPr="006022FC">
        <w:rPr>
          <w:rFonts w:ascii="Times New Roman" w:hAnsi="Times New Roman"/>
        </w:rPr>
        <w:t xml:space="preserve"> a ricavi o costi di competenza dell’esercizio o a ratei o risconti attivi o passivi.</w:t>
      </w:r>
    </w:p>
    <w:p w:rsidR="00CC2D2B" w:rsidRPr="006022FC" w:rsidRDefault="00CC2D2B" w:rsidP="00C61388">
      <w:pPr>
        <w:jc w:val="both"/>
        <w:rPr>
          <w:rFonts w:ascii="Times New Roman" w:hAnsi="Times New Roman"/>
        </w:rPr>
      </w:pPr>
      <w:r w:rsidRPr="006022FC">
        <w:rPr>
          <w:rFonts w:ascii="Times New Roman" w:hAnsi="Times New Roman"/>
        </w:rPr>
        <w:t xml:space="preserve">Si è tenuto conto nel bilancio di previsione economico anche di quelle movimentazioni finanziarie relative ad entrate ed uscite in conto capitale che possono avere una ricaduta economico patrimoniale, quale ad esempio l’acquisto di nuovi beni strumentali, con la conseguente variazione degli ammortamenti, l’accensione di nuovi prestiti, con l’aumento degli interessi passivi, o la vendita di beni strumentali che possono determinare plusvalenze o minusvalenze. Non sono stati considerati quei movimenti di capitale che individuando fatti permutativi del patrimonio non hanno diretta influenza con il conto economico. </w:t>
      </w:r>
    </w:p>
    <w:p w:rsidR="00CC2D2B" w:rsidRPr="006022FC" w:rsidRDefault="00CC2D2B" w:rsidP="00C61388">
      <w:pPr>
        <w:jc w:val="both"/>
        <w:rPr>
          <w:rFonts w:ascii="Times New Roman" w:hAnsi="Times New Roman"/>
        </w:rPr>
      </w:pPr>
    </w:p>
    <w:p w:rsidR="00CC2D2B" w:rsidRPr="006022FC" w:rsidRDefault="00CC2D2B" w:rsidP="00E45396">
      <w:pPr>
        <w:pStyle w:val="Titolo1"/>
        <w:jc w:val="both"/>
        <w:rPr>
          <w:rFonts w:ascii="Times New Roman" w:hAnsi="Times New Roman"/>
          <w:color w:val="auto"/>
        </w:rPr>
      </w:pPr>
      <w:bookmarkStart w:id="3" w:name="_Toc434913359"/>
      <w:r w:rsidRPr="006022FC">
        <w:rPr>
          <w:rFonts w:ascii="Times New Roman" w:hAnsi="Times New Roman"/>
          <w:color w:val="auto"/>
        </w:rPr>
        <w:lastRenderedPageBreak/>
        <w:t>Conto Economico</w:t>
      </w:r>
      <w:bookmarkEnd w:id="3"/>
    </w:p>
    <w:p w:rsidR="00CC2D2B" w:rsidRPr="006022FC" w:rsidRDefault="00CC2D2B" w:rsidP="00C61388">
      <w:pPr>
        <w:jc w:val="both"/>
        <w:rPr>
          <w:rFonts w:ascii="Times New Roman" w:hAnsi="Times New Roman"/>
        </w:rPr>
      </w:pPr>
    </w:p>
    <w:p w:rsidR="00CC2D2B" w:rsidRPr="006022FC" w:rsidRDefault="00CC2D2B" w:rsidP="00C61388">
      <w:pPr>
        <w:jc w:val="both"/>
        <w:rPr>
          <w:rFonts w:ascii="Times New Roman" w:hAnsi="Times New Roman"/>
        </w:rPr>
      </w:pPr>
      <w:r w:rsidRPr="006022FC">
        <w:rPr>
          <w:rFonts w:ascii="Times New Roman" w:hAnsi="Times New Roman"/>
        </w:rPr>
        <w:t>Il conto economico è stato redatto rispettando il principio della competenza economica; pertanto, sono stati attribuiti al periodo amministrativo, come costi, i valori dei beni e dei servizi effettivamente impiegati e, come ricavi, i valori relativi a beni e servizi effettivamente ceduti, indipendentemente dalle correlate variazioni monetario che regolano le operazioni di scambio.</w:t>
      </w:r>
    </w:p>
    <w:p w:rsidR="00CC2D2B" w:rsidRPr="006022FC" w:rsidRDefault="00CC2D2B" w:rsidP="00A3756F">
      <w:pPr>
        <w:rPr>
          <w:rFonts w:ascii="Times New Roman" w:hAnsi="Times New Roman"/>
        </w:rPr>
      </w:pPr>
    </w:p>
    <w:p w:rsidR="00CC2D2B" w:rsidRPr="006022FC" w:rsidRDefault="00CC2D2B" w:rsidP="00C61388">
      <w:pPr>
        <w:pStyle w:val="Titolo2"/>
        <w:jc w:val="both"/>
        <w:rPr>
          <w:rFonts w:ascii="Times New Roman" w:hAnsi="Times New Roman"/>
          <w:color w:val="auto"/>
        </w:rPr>
      </w:pPr>
      <w:bookmarkStart w:id="4" w:name="_Toc434913360"/>
      <w:r w:rsidRPr="006022FC">
        <w:rPr>
          <w:rFonts w:ascii="Times New Roman" w:hAnsi="Times New Roman"/>
          <w:color w:val="auto"/>
        </w:rPr>
        <w:t>Valore della produzione</w:t>
      </w:r>
      <w:bookmarkEnd w:id="4"/>
    </w:p>
    <w:p w:rsidR="00CC2D2B" w:rsidRPr="006022FC" w:rsidRDefault="00CC2D2B" w:rsidP="00C61388">
      <w:pPr>
        <w:jc w:val="both"/>
        <w:rPr>
          <w:rFonts w:ascii="Times New Roman" w:hAnsi="Times New Roman"/>
        </w:rPr>
      </w:pPr>
    </w:p>
    <w:p w:rsidR="00CC2D2B" w:rsidRPr="006022FC" w:rsidRDefault="00CC2D2B" w:rsidP="00C61388">
      <w:pPr>
        <w:jc w:val="both"/>
        <w:rPr>
          <w:rFonts w:ascii="Times New Roman" w:hAnsi="Times New Roman"/>
        </w:rPr>
      </w:pPr>
      <w:r w:rsidRPr="006022FC">
        <w:rPr>
          <w:rFonts w:ascii="Times New Roman" w:hAnsi="Times New Roman"/>
        </w:rPr>
        <w:t xml:space="preserve">La </w:t>
      </w:r>
      <w:proofErr w:type="spellStart"/>
      <w:r w:rsidRPr="006022FC">
        <w:rPr>
          <w:rFonts w:ascii="Times New Roman" w:hAnsi="Times New Roman"/>
        </w:rPr>
        <w:t>macroclasse</w:t>
      </w:r>
      <w:proofErr w:type="spellEnd"/>
      <w:r w:rsidRPr="006022FC">
        <w:rPr>
          <w:rFonts w:ascii="Times New Roman" w:hAnsi="Times New Roman"/>
        </w:rPr>
        <w:t xml:space="preserve"> individua il valore della produzione realizzata dal consorzio nel periodo considerato. Nel dettaglio, il valore della pr</w:t>
      </w:r>
      <w:r w:rsidR="006022FC">
        <w:rPr>
          <w:rFonts w:ascii="Times New Roman" w:hAnsi="Times New Roman"/>
        </w:rPr>
        <w:t>oduzione stimato per l’anno 2017</w:t>
      </w:r>
      <w:r w:rsidRPr="006022FC">
        <w:rPr>
          <w:rFonts w:ascii="Times New Roman" w:hAnsi="Times New Roman"/>
        </w:rPr>
        <w:t xml:space="preserve"> è così composto:</w:t>
      </w:r>
    </w:p>
    <w:p w:rsidR="00CC2D2B" w:rsidRPr="006022FC" w:rsidRDefault="00CC2D2B" w:rsidP="00C61388">
      <w:pPr>
        <w:pStyle w:val="Paragrafoelenco"/>
        <w:numPr>
          <w:ilvl w:val="0"/>
          <w:numId w:val="6"/>
        </w:numPr>
        <w:jc w:val="both"/>
        <w:rPr>
          <w:rFonts w:ascii="Times New Roman" w:hAnsi="Times New Roman"/>
        </w:rPr>
      </w:pPr>
      <w:r w:rsidRPr="006022FC">
        <w:rPr>
          <w:rFonts w:ascii="Times New Roman" w:hAnsi="Times New Roman"/>
        </w:rPr>
        <w:t>VALORE DELLA PRODUZIONE</w:t>
      </w:r>
    </w:p>
    <w:p w:rsidR="00CC2D2B" w:rsidRPr="006022FC" w:rsidRDefault="00CC2D2B" w:rsidP="00C61388">
      <w:pPr>
        <w:pStyle w:val="Paragrafoelenco"/>
        <w:jc w:val="both"/>
        <w:rPr>
          <w:rFonts w:ascii="Times New Roman" w:hAnsi="Times New Roman"/>
        </w:rPr>
      </w:pPr>
      <w:r w:rsidRPr="006022FC">
        <w:rPr>
          <w:rFonts w:ascii="Times New Roman" w:hAnsi="Times New Roman"/>
        </w:rPr>
        <w:t xml:space="preserve">A.1 Proventi da ruoli contributivi </w:t>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t xml:space="preserve">        € </w:t>
      </w:r>
      <w:r w:rsidR="006022FC">
        <w:rPr>
          <w:rFonts w:ascii="Times New Roman" w:hAnsi="Times New Roman"/>
        </w:rPr>
        <w:t>12.957.134,10</w:t>
      </w:r>
    </w:p>
    <w:p w:rsidR="00CC2D2B" w:rsidRPr="006022FC" w:rsidRDefault="00CC2D2B" w:rsidP="00C61388">
      <w:pPr>
        <w:pStyle w:val="Paragrafoelenco"/>
        <w:jc w:val="both"/>
        <w:rPr>
          <w:rFonts w:ascii="Times New Roman" w:hAnsi="Times New Roman"/>
        </w:rPr>
      </w:pPr>
      <w:r w:rsidRPr="006022FC">
        <w:rPr>
          <w:rFonts w:ascii="Times New Roman" w:hAnsi="Times New Roman"/>
        </w:rPr>
        <w:t xml:space="preserve">A.2 Contributi per manutenzione straordinaria su beni di terzi </w:t>
      </w:r>
      <w:r w:rsidRPr="006022FC">
        <w:rPr>
          <w:rFonts w:ascii="Times New Roman" w:hAnsi="Times New Roman"/>
        </w:rPr>
        <w:tab/>
      </w:r>
      <w:r w:rsidRPr="006022FC">
        <w:rPr>
          <w:rFonts w:ascii="Times New Roman" w:hAnsi="Times New Roman"/>
        </w:rPr>
        <w:tab/>
        <w:t xml:space="preserve">          € </w:t>
      </w:r>
      <w:r w:rsidR="006022FC">
        <w:rPr>
          <w:rFonts w:ascii="Times New Roman" w:hAnsi="Times New Roman"/>
        </w:rPr>
        <w:t>5.730.341,14</w:t>
      </w:r>
    </w:p>
    <w:p w:rsidR="00CC2D2B" w:rsidRPr="006022FC" w:rsidRDefault="00CC2D2B" w:rsidP="00C61388">
      <w:pPr>
        <w:pStyle w:val="Paragrafoelenco"/>
        <w:jc w:val="both"/>
        <w:rPr>
          <w:rFonts w:ascii="Times New Roman" w:hAnsi="Times New Roman"/>
        </w:rPr>
      </w:pPr>
      <w:r w:rsidRPr="006022FC">
        <w:rPr>
          <w:rFonts w:ascii="Times New Roman" w:hAnsi="Times New Roman"/>
        </w:rPr>
        <w:t>A.3 Altri ricavi e proventi</w:t>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t xml:space="preserve">             € </w:t>
      </w:r>
      <w:r w:rsidR="006022FC">
        <w:rPr>
          <w:rFonts w:ascii="Times New Roman" w:hAnsi="Times New Roman"/>
        </w:rPr>
        <w:t>391.981,85</w:t>
      </w:r>
    </w:p>
    <w:p w:rsidR="00CC2D2B" w:rsidRPr="006022FC" w:rsidRDefault="00CC2D2B" w:rsidP="00C61388">
      <w:pPr>
        <w:jc w:val="both"/>
        <w:rPr>
          <w:rFonts w:ascii="Times New Roman" w:hAnsi="Times New Roman"/>
        </w:rPr>
      </w:pPr>
      <w:r w:rsidRPr="006022FC">
        <w:rPr>
          <w:rFonts w:ascii="Times New Roman" w:hAnsi="Times New Roman"/>
        </w:rPr>
        <w:t xml:space="preserve">Totale valore della produzione (A) € </w:t>
      </w:r>
      <w:r w:rsidR="006022FC">
        <w:rPr>
          <w:rFonts w:ascii="Times New Roman" w:hAnsi="Times New Roman"/>
        </w:rPr>
        <w:t>19.079.457,39</w:t>
      </w:r>
    </w:p>
    <w:p w:rsidR="00CC2D2B" w:rsidRPr="006022FC" w:rsidRDefault="00CC2D2B" w:rsidP="00C61388">
      <w:pPr>
        <w:jc w:val="both"/>
        <w:rPr>
          <w:rFonts w:ascii="Times New Roman" w:hAnsi="Times New Roman"/>
        </w:rPr>
      </w:pPr>
    </w:p>
    <w:p w:rsidR="00CC2D2B" w:rsidRPr="006022FC" w:rsidRDefault="00CC2D2B" w:rsidP="00E45396">
      <w:pPr>
        <w:pStyle w:val="Titolo3"/>
        <w:jc w:val="both"/>
        <w:rPr>
          <w:rFonts w:ascii="Times New Roman" w:hAnsi="Times New Roman"/>
          <w:color w:val="auto"/>
        </w:rPr>
      </w:pPr>
      <w:bookmarkStart w:id="5" w:name="_Toc434913361"/>
      <w:r w:rsidRPr="006022FC">
        <w:rPr>
          <w:rFonts w:ascii="Times New Roman" w:hAnsi="Times New Roman"/>
          <w:color w:val="auto"/>
        </w:rPr>
        <w:t>Proventi da ruoli contributivi</w:t>
      </w:r>
      <w:bookmarkEnd w:id="5"/>
    </w:p>
    <w:p w:rsidR="00CC2D2B" w:rsidRPr="006022FC" w:rsidRDefault="00CC2D2B" w:rsidP="00A37BE2">
      <w:pPr>
        <w:rPr>
          <w:rFonts w:ascii="Times New Roman" w:hAnsi="Times New Roman"/>
        </w:rPr>
      </w:pPr>
    </w:p>
    <w:p w:rsidR="00CC2D2B" w:rsidRPr="006022FC" w:rsidRDefault="00CC2D2B" w:rsidP="00C61388">
      <w:pPr>
        <w:jc w:val="both"/>
        <w:rPr>
          <w:rFonts w:ascii="Times New Roman" w:hAnsi="Times New Roman"/>
        </w:rPr>
      </w:pPr>
      <w:r w:rsidRPr="006022FC">
        <w:rPr>
          <w:rFonts w:ascii="Times New Roman" w:hAnsi="Times New Roman"/>
        </w:rPr>
        <w:t xml:space="preserve">La posta comprende la quantificazione economica dei ruoli ordinari per complessivi € </w:t>
      </w:r>
      <w:r w:rsidR="006022FC">
        <w:rPr>
          <w:rFonts w:ascii="Times New Roman" w:hAnsi="Times New Roman"/>
        </w:rPr>
        <w:t>12.657.134,10 (compresa la quota Convenzione con Acqued</w:t>
      </w:r>
      <w:r w:rsidR="00F77B58">
        <w:rPr>
          <w:rFonts w:ascii="Times New Roman" w:hAnsi="Times New Roman"/>
        </w:rPr>
        <w:t>otto del Fiora per € 147.134,10) nonché la somma di € 300.000,00 per il ruolo irriguo.</w:t>
      </w:r>
    </w:p>
    <w:p w:rsidR="00CC2D2B" w:rsidRPr="006022FC" w:rsidRDefault="00CC2D2B" w:rsidP="00C61388">
      <w:pPr>
        <w:jc w:val="both"/>
        <w:rPr>
          <w:rFonts w:ascii="Times New Roman" w:hAnsi="Times New Roman"/>
        </w:rPr>
      </w:pPr>
      <w:r w:rsidRPr="006022FC">
        <w:rPr>
          <w:rFonts w:ascii="Times New Roman" w:hAnsi="Times New Roman"/>
        </w:rPr>
        <w:t>La previsione di entrata relativa alla contribuzione consortile, e conseguentemente la previsione di ricavo, deriva dalla valutazione delle spese relative alle funzioni cui il Consorzio deve adempiere per garantire la perfetta manutenzione delle opere di bonifica ed idrauliche di competenza consortile, nonché delle spese necessarie al proprio funzionamento.</w:t>
      </w:r>
    </w:p>
    <w:p w:rsidR="00CC2D2B" w:rsidRPr="006022FC" w:rsidRDefault="00CC2D2B" w:rsidP="00C61388">
      <w:pPr>
        <w:jc w:val="both"/>
        <w:rPr>
          <w:rFonts w:ascii="Times New Roman" w:hAnsi="Times New Roman"/>
        </w:rPr>
      </w:pPr>
      <w:r w:rsidRPr="006022FC">
        <w:rPr>
          <w:rFonts w:ascii="Times New Roman" w:hAnsi="Times New Roman"/>
        </w:rPr>
        <w:t xml:space="preserve">I ruoli, in via previsionale, sono stati </w:t>
      </w:r>
      <w:r w:rsidR="006022FC">
        <w:rPr>
          <w:rFonts w:ascii="Times New Roman" w:hAnsi="Times New Roman"/>
        </w:rPr>
        <w:t xml:space="preserve">prevalentemente </w:t>
      </w:r>
      <w:r w:rsidRPr="006022FC">
        <w:rPr>
          <w:rFonts w:ascii="Times New Roman" w:hAnsi="Times New Roman"/>
        </w:rPr>
        <w:t xml:space="preserve">destinati ad interventi di parte corrente e, pertanto, sono </w:t>
      </w:r>
      <w:r w:rsidR="006022FC">
        <w:rPr>
          <w:rFonts w:ascii="Times New Roman" w:hAnsi="Times New Roman"/>
        </w:rPr>
        <w:t xml:space="preserve">quasi </w:t>
      </w:r>
      <w:r w:rsidRPr="006022FC">
        <w:rPr>
          <w:rFonts w:ascii="Times New Roman" w:hAnsi="Times New Roman"/>
        </w:rPr>
        <w:t>interamente di competenza economica dell’esercizio di riferimento.</w:t>
      </w:r>
      <w:r w:rsidR="006022FC">
        <w:rPr>
          <w:rFonts w:ascii="Times New Roman" w:hAnsi="Times New Roman"/>
        </w:rPr>
        <w:t xml:space="preserve"> Risultano comune finanziati con il ruolo acquisti di beni strumentali, al netto delle alienazioni, nonché le quote capitale di ammortamento dei mutui. Per tale motivo è stata imputata tra gli oneri diversi di gestione /voce B.13.01.180) una quota pari ad € 338.276,18 destinata a stornare la parte del ruolo che finanzia tali spese di investimento pluriennali.</w:t>
      </w:r>
    </w:p>
    <w:p w:rsidR="00CC2D2B" w:rsidRPr="006022FC" w:rsidRDefault="00CC2D2B" w:rsidP="00C61388">
      <w:pPr>
        <w:jc w:val="both"/>
        <w:rPr>
          <w:rFonts w:ascii="Times New Roman" w:hAnsi="Times New Roman"/>
        </w:rPr>
      </w:pPr>
      <w:r w:rsidRPr="006022FC">
        <w:rPr>
          <w:rFonts w:ascii="Times New Roman" w:hAnsi="Times New Roman"/>
        </w:rPr>
        <w:t xml:space="preserve">Al fine di cautelarsi contro il rischio derivante da mancata riscossione su ruoli, si è provveduto ad effettuare accantonamenti per euro </w:t>
      </w:r>
      <w:r w:rsidR="006022FC">
        <w:rPr>
          <w:rFonts w:ascii="Times New Roman" w:hAnsi="Times New Roman"/>
        </w:rPr>
        <w:t>640.500,00</w:t>
      </w:r>
      <w:r w:rsidRPr="006022FC">
        <w:rPr>
          <w:rFonts w:ascii="Times New Roman" w:hAnsi="Times New Roman"/>
        </w:rPr>
        <w:t xml:space="preserve"> a fondo rischi, importo che è stato calcolato sui capitoli 2/1 e 2/3 del bilancio finanziario pari ad euro </w:t>
      </w:r>
      <w:r w:rsidR="00F77B58">
        <w:rPr>
          <w:rFonts w:ascii="Times New Roman" w:hAnsi="Times New Roman"/>
        </w:rPr>
        <w:t>12.810.000,00</w:t>
      </w:r>
      <w:r w:rsidRPr="006022FC">
        <w:rPr>
          <w:rFonts w:ascii="Times New Roman" w:hAnsi="Times New Roman"/>
        </w:rPr>
        <w:t xml:space="preserve"> con l’aliquota del 5%</w:t>
      </w:r>
      <w:r w:rsidR="00F77B58">
        <w:rPr>
          <w:rFonts w:ascii="Times New Roman" w:hAnsi="Times New Roman"/>
        </w:rPr>
        <w:t xml:space="preserve"> (percentuale media di non riscosso degli ultimi 5 anni)</w:t>
      </w:r>
      <w:r w:rsidRPr="006022FC">
        <w:rPr>
          <w:rFonts w:ascii="Times New Roman" w:hAnsi="Times New Roman"/>
        </w:rPr>
        <w:t>.</w:t>
      </w:r>
    </w:p>
    <w:p w:rsidR="00CC2D2B" w:rsidRPr="006022FC" w:rsidRDefault="00CC2D2B" w:rsidP="00C61388">
      <w:pPr>
        <w:jc w:val="both"/>
        <w:rPr>
          <w:rFonts w:ascii="Times New Roman" w:hAnsi="Times New Roman"/>
        </w:rPr>
      </w:pPr>
    </w:p>
    <w:p w:rsidR="00CC2D2B" w:rsidRPr="006022FC" w:rsidRDefault="00CC2D2B" w:rsidP="00E45396">
      <w:pPr>
        <w:pStyle w:val="Titolo3"/>
        <w:jc w:val="both"/>
        <w:rPr>
          <w:rFonts w:ascii="Times New Roman" w:hAnsi="Times New Roman"/>
          <w:color w:val="auto"/>
        </w:rPr>
      </w:pPr>
      <w:bookmarkStart w:id="6" w:name="_Toc434913362"/>
      <w:r w:rsidRPr="006022FC">
        <w:rPr>
          <w:rFonts w:ascii="Times New Roman" w:hAnsi="Times New Roman"/>
          <w:color w:val="auto"/>
        </w:rPr>
        <w:t>Contributi manutenzione straordinaria su beni di terzi</w:t>
      </w:r>
      <w:bookmarkEnd w:id="6"/>
    </w:p>
    <w:p w:rsidR="00CC2D2B" w:rsidRPr="006022FC" w:rsidRDefault="00CC2D2B" w:rsidP="00A37BE2">
      <w:pPr>
        <w:rPr>
          <w:rFonts w:ascii="Times New Roman" w:hAnsi="Times New Roman"/>
        </w:rPr>
      </w:pPr>
    </w:p>
    <w:p w:rsidR="00CC2D2B" w:rsidRPr="006022FC" w:rsidRDefault="00CC2D2B" w:rsidP="00C61388">
      <w:pPr>
        <w:jc w:val="both"/>
        <w:rPr>
          <w:rFonts w:ascii="Times New Roman" w:hAnsi="Times New Roman"/>
        </w:rPr>
      </w:pPr>
      <w:r w:rsidRPr="006022FC">
        <w:rPr>
          <w:rFonts w:ascii="Times New Roman" w:hAnsi="Times New Roman"/>
        </w:rPr>
        <w:lastRenderedPageBreak/>
        <w:t>Accoglie la quota di ricavo corrispondente ai lavori di manutenzione straordinaria da effettuarsi  su beni di terzi e finanziati con contributi esterni.</w:t>
      </w:r>
    </w:p>
    <w:p w:rsidR="00CC2D2B" w:rsidRPr="006022FC" w:rsidRDefault="00CC2D2B" w:rsidP="00C61388">
      <w:pPr>
        <w:jc w:val="both"/>
        <w:rPr>
          <w:rFonts w:ascii="Times New Roman" w:hAnsi="Times New Roman"/>
        </w:rPr>
      </w:pPr>
      <w:r w:rsidRPr="006022FC">
        <w:rPr>
          <w:rFonts w:ascii="Times New Roman" w:hAnsi="Times New Roman"/>
        </w:rPr>
        <w:t>Le commesse di gestione straordinaria con finanziamento di terzi si riferiscono ad interventi strutturali ed agli interventi per la costruzione di nuove infrastrutture che sono eseguiti dai consorzi di bonifica in forza di quanto previsto dalla normativa regionale o da specifici accordi con finanziamento pubblico o privato.</w:t>
      </w:r>
    </w:p>
    <w:p w:rsidR="00CC2D2B" w:rsidRPr="006022FC" w:rsidRDefault="00CC2D2B" w:rsidP="00C61388">
      <w:pPr>
        <w:jc w:val="both"/>
        <w:rPr>
          <w:rFonts w:ascii="Times New Roman" w:hAnsi="Times New Roman"/>
        </w:rPr>
      </w:pPr>
      <w:r w:rsidRPr="006022FC">
        <w:rPr>
          <w:rFonts w:ascii="Times New Roman" w:hAnsi="Times New Roman"/>
        </w:rPr>
        <w:t>Tali opere non rientrano nel patrimonio consortile, pertanto il contributo si configura come ricavo d’esercizio essendo destinato alla copertura di costi sostenuti dal consorzio per la realizzazione dell’intervento programmato.</w:t>
      </w:r>
    </w:p>
    <w:p w:rsidR="00CC2D2B" w:rsidRPr="006022FC" w:rsidRDefault="00CC2D2B" w:rsidP="00C61388">
      <w:pPr>
        <w:jc w:val="both"/>
        <w:rPr>
          <w:rFonts w:ascii="Times New Roman" w:hAnsi="Times New Roman"/>
        </w:rPr>
      </w:pPr>
      <w:r w:rsidRPr="006022FC">
        <w:rPr>
          <w:rFonts w:ascii="Times New Roman" w:hAnsi="Times New Roman"/>
        </w:rPr>
        <w:t xml:space="preserve">I lavori sono commesse di gestione straordinaria, di natura pluriennale. </w:t>
      </w:r>
      <w:proofErr w:type="gramStart"/>
      <w:r w:rsidRPr="006022FC">
        <w:rPr>
          <w:rFonts w:ascii="Times New Roman" w:hAnsi="Times New Roman"/>
        </w:rPr>
        <w:t>le</w:t>
      </w:r>
      <w:proofErr w:type="gramEnd"/>
      <w:r w:rsidRPr="006022FC">
        <w:rPr>
          <w:rFonts w:ascii="Times New Roman" w:hAnsi="Times New Roman"/>
        </w:rPr>
        <w:t xml:space="preserve"> commesse sono state analiticamente individuate e per ciascuna di esse si è provveduto a quantificare il contributo proveniente da terze economie e a contabilizzarlo in proporzione ai lavori effettuati (somme che si prevede saranno liquidate a tale</w:t>
      </w:r>
      <w:r w:rsidR="00F77B58">
        <w:rPr>
          <w:rFonts w:ascii="Times New Roman" w:hAnsi="Times New Roman"/>
        </w:rPr>
        <w:t xml:space="preserve"> titolo nel corso dell’anno 2017</w:t>
      </w:r>
      <w:r w:rsidRPr="006022FC">
        <w:rPr>
          <w:rFonts w:ascii="Times New Roman" w:hAnsi="Times New Roman"/>
        </w:rPr>
        <w:t>)</w:t>
      </w:r>
      <w:r w:rsidR="00F77B58">
        <w:rPr>
          <w:rFonts w:ascii="Times New Roman" w:hAnsi="Times New Roman"/>
        </w:rPr>
        <w:t>.</w:t>
      </w:r>
    </w:p>
    <w:p w:rsidR="00CC2D2B" w:rsidRPr="006022FC" w:rsidRDefault="00CC2D2B" w:rsidP="00C61388">
      <w:pPr>
        <w:jc w:val="both"/>
        <w:rPr>
          <w:rFonts w:ascii="Times New Roman" w:hAnsi="Times New Roman"/>
        </w:rPr>
      </w:pPr>
    </w:p>
    <w:p w:rsidR="00CC2D2B" w:rsidRPr="006022FC" w:rsidRDefault="00CC2D2B" w:rsidP="00E45396">
      <w:pPr>
        <w:pStyle w:val="Titolo3"/>
        <w:jc w:val="both"/>
        <w:rPr>
          <w:rFonts w:ascii="Times New Roman" w:hAnsi="Times New Roman"/>
          <w:color w:val="auto"/>
        </w:rPr>
      </w:pPr>
      <w:bookmarkStart w:id="7" w:name="_Toc434913363"/>
      <w:r w:rsidRPr="006022FC">
        <w:rPr>
          <w:rFonts w:ascii="Times New Roman" w:hAnsi="Times New Roman"/>
          <w:color w:val="auto"/>
        </w:rPr>
        <w:t>Altri ricavi e proventi</w:t>
      </w:r>
      <w:bookmarkEnd w:id="7"/>
    </w:p>
    <w:p w:rsidR="00CC2D2B" w:rsidRPr="006022FC" w:rsidRDefault="00CC2D2B" w:rsidP="00A37BE2">
      <w:pPr>
        <w:rPr>
          <w:rFonts w:ascii="Times New Roman" w:hAnsi="Times New Roman"/>
        </w:rPr>
      </w:pPr>
    </w:p>
    <w:p w:rsidR="00CC2D2B" w:rsidRPr="006022FC" w:rsidRDefault="00CC2D2B" w:rsidP="00C61388">
      <w:pPr>
        <w:jc w:val="both"/>
        <w:rPr>
          <w:rFonts w:ascii="Times New Roman" w:hAnsi="Times New Roman"/>
        </w:rPr>
      </w:pPr>
      <w:r w:rsidRPr="006022FC">
        <w:rPr>
          <w:rFonts w:ascii="Times New Roman" w:hAnsi="Times New Roman"/>
        </w:rPr>
        <w:t>Si tratta di una voce di natura residuale che accoglie ricavi e proventi che non sono iscrivibili nelle poste precedenti. Nel dettaglio, nella voce sono stati inseriti i ricavi presunti relativi a</w:t>
      </w:r>
      <w:r w:rsidR="00F77B58">
        <w:rPr>
          <w:rFonts w:ascii="Times New Roman" w:hAnsi="Times New Roman"/>
        </w:rPr>
        <w:t>gli</w:t>
      </w:r>
      <w:r w:rsidRPr="006022FC">
        <w:rPr>
          <w:rFonts w:ascii="Times New Roman" w:hAnsi="Times New Roman"/>
        </w:rPr>
        <w:t xml:space="preserve"> incentivi derivanti dall’impianto fotovoltaico, i ricavi della centrale elettrica, sponsorizzazioni, rimborsi vari</w:t>
      </w:r>
      <w:r w:rsidR="00F77B58">
        <w:rPr>
          <w:rFonts w:ascii="Times New Roman" w:hAnsi="Times New Roman"/>
        </w:rPr>
        <w:t xml:space="preserve"> e cessione di materiali inerti a compensazione dei lavori.</w:t>
      </w:r>
    </w:p>
    <w:p w:rsidR="00CC2D2B" w:rsidRPr="006022FC" w:rsidRDefault="00CC2D2B" w:rsidP="00C61388">
      <w:pPr>
        <w:jc w:val="both"/>
        <w:rPr>
          <w:rFonts w:ascii="Times New Roman" w:hAnsi="Times New Roman"/>
        </w:rPr>
      </w:pPr>
    </w:p>
    <w:p w:rsidR="00CC2D2B" w:rsidRPr="006022FC" w:rsidRDefault="00CC2D2B" w:rsidP="00E45396">
      <w:pPr>
        <w:pStyle w:val="Titolo2"/>
        <w:jc w:val="both"/>
        <w:rPr>
          <w:rFonts w:ascii="Times New Roman" w:hAnsi="Times New Roman"/>
          <w:color w:val="auto"/>
        </w:rPr>
      </w:pPr>
      <w:bookmarkStart w:id="8" w:name="_Toc434913364"/>
      <w:r w:rsidRPr="006022FC">
        <w:rPr>
          <w:rFonts w:ascii="Times New Roman" w:hAnsi="Times New Roman"/>
          <w:color w:val="auto"/>
        </w:rPr>
        <w:t>Costi della produzione</w:t>
      </w:r>
      <w:bookmarkEnd w:id="8"/>
    </w:p>
    <w:p w:rsidR="00CC2D2B" w:rsidRPr="006022FC" w:rsidRDefault="00CC2D2B" w:rsidP="00C61388">
      <w:pPr>
        <w:jc w:val="both"/>
        <w:rPr>
          <w:rFonts w:ascii="Times New Roman" w:hAnsi="Times New Roman"/>
        </w:rPr>
      </w:pPr>
    </w:p>
    <w:p w:rsidR="00CC2D2B" w:rsidRPr="006022FC" w:rsidRDefault="00CC2D2B" w:rsidP="00C61388">
      <w:pPr>
        <w:jc w:val="both"/>
        <w:rPr>
          <w:rFonts w:ascii="Times New Roman" w:hAnsi="Times New Roman"/>
        </w:rPr>
      </w:pPr>
      <w:r w:rsidRPr="006022FC">
        <w:rPr>
          <w:rFonts w:ascii="Times New Roman" w:hAnsi="Times New Roman"/>
        </w:rPr>
        <w:t xml:space="preserve">La </w:t>
      </w:r>
      <w:proofErr w:type="spellStart"/>
      <w:r w:rsidRPr="006022FC">
        <w:rPr>
          <w:rFonts w:ascii="Times New Roman" w:hAnsi="Times New Roman"/>
        </w:rPr>
        <w:t>macroclasse</w:t>
      </w:r>
      <w:proofErr w:type="spellEnd"/>
      <w:r w:rsidRPr="006022FC">
        <w:rPr>
          <w:rFonts w:ascii="Times New Roman" w:hAnsi="Times New Roman"/>
        </w:rPr>
        <w:t xml:space="preserve"> individua i costi della produzione previsti dal Consorzio nel periodo considerato. Nel dettaglio, i costi della produzione stimati per l’anno 201</w:t>
      </w:r>
      <w:r w:rsidR="00F77B58">
        <w:rPr>
          <w:rFonts w:ascii="Times New Roman" w:hAnsi="Times New Roman"/>
        </w:rPr>
        <w:t>7</w:t>
      </w:r>
      <w:r w:rsidRPr="006022FC">
        <w:rPr>
          <w:rFonts w:ascii="Times New Roman" w:hAnsi="Times New Roman"/>
        </w:rPr>
        <w:t xml:space="preserve"> sono così composti:</w:t>
      </w:r>
    </w:p>
    <w:p w:rsidR="00CC2D2B" w:rsidRPr="006022FC" w:rsidRDefault="00CC2D2B" w:rsidP="00C61388">
      <w:pPr>
        <w:pStyle w:val="Paragrafoelenco"/>
        <w:numPr>
          <w:ilvl w:val="0"/>
          <w:numId w:val="6"/>
        </w:numPr>
        <w:jc w:val="both"/>
        <w:rPr>
          <w:rFonts w:ascii="Times New Roman" w:hAnsi="Times New Roman"/>
        </w:rPr>
      </w:pPr>
      <w:r w:rsidRPr="006022FC">
        <w:rPr>
          <w:rFonts w:ascii="Times New Roman" w:hAnsi="Times New Roman"/>
        </w:rPr>
        <w:t>COSTI DELLA PRODUZIONE</w:t>
      </w:r>
    </w:p>
    <w:p w:rsidR="00F77B58" w:rsidRDefault="00F77B58" w:rsidP="00C61388">
      <w:pPr>
        <w:ind w:left="360"/>
        <w:jc w:val="both"/>
        <w:rPr>
          <w:rFonts w:ascii="Times New Roman" w:hAnsi="Times New Roman"/>
        </w:rPr>
      </w:pPr>
      <w:r>
        <w:rPr>
          <w:rFonts w:ascii="Times New Roman" w:hAnsi="Times New Roman"/>
        </w:rPr>
        <w:t>B.6</w:t>
      </w:r>
      <w:r w:rsidRPr="006022FC">
        <w:rPr>
          <w:rFonts w:ascii="Times New Roman" w:hAnsi="Times New Roman"/>
        </w:rPr>
        <w:t xml:space="preserve"> Acquisti di </w:t>
      </w:r>
      <w:r>
        <w:rPr>
          <w:rFonts w:ascii="Times New Roman" w:hAnsi="Times New Roman"/>
        </w:rPr>
        <w:t>beni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€ 1.496.245,00</w:t>
      </w:r>
    </w:p>
    <w:p w:rsidR="00CC2D2B" w:rsidRPr="00F77B58" w:rsidRDefault="00CC2D2B" w:rsidP="00C61388">
      <w:pPr>
        <w:ind w:left="360"/>
        <w:jc w:val="both"/>
        <w:rPr>
          <w:rFonts w:ascii="Times New Roman" w:hAnsi="Times New Roman"/>
        </w:rPr>
      </w:pPr>
      <w:r w:rsidRPr="006022FC">
        <w:rPr>
          <w:rFonts w:ascii="Times New Roman" w:hAnsi="Times New Roman"/>
        </w:rPr>
        <w:t>B.7 Acquisti di servizi</w:t>
      </w:r>
      <w:r w:rsidR="00F77B58">
        <w:rPr>
          <w:rFonts w:ascii="Times New Roman" w:hAnsi="Times New Roman"/>
        </w:rPr>
        <w:tab/>
      </w:r>
      <w:r w:rsidR="00F77B58">
        <w:rPr>
          <w:rFonts w:ascii="Times New Roman" w:hAnsi="Times New Roman"/>
        </w:rPr>
        <w:tab/>
      </w:r>
      <w:r w:rsidR="00F77B58">
        <w:rPr>
          <w:rFonts w:ascii="Times New Roman" w:hAnsi="Times New Roman"/>
        </w:rPr>
        <w:tab/>
      </w:r>
      <w:r w:rsidR="00F77B58">
        <w:rPr>
          <w:rFonts w:ascii="Times New Roman" w:hAnsi="Times New Roman"/>
        </w:rPr>
        <w:tab/>
      </w:r>
      <w:r w:rsidR="00F77B58">
        <w:rPr>
          <w:rFonts w:ascii="Times New Roman" w:hAnsi="Times New Roman"/>
        </w:rPr>
        <w:tab/>
      </w:r>
      <w:r w:rsidRPr="00F77B58">
        <w:rPr>
          <w:rFonts w:ascii="Times New Roman" w:hAnsi="Times New Roman"/>
        </w:rPr>
        <w:tab/>
      </w:r>
      <w:r w:rsidRPr="00F77B58">
        <w:rPr>
          <w:rFonts w:ascii="Times New Roman" w:hAnsi="Times New Roman"/>
        </w:rPr>
        <w:tab/>
        <w:t xml:space="preserve">          € 9.</w:t>
      </w:r>
      <w:r w:rsidR="00F77B58" w:rsidRPr="00F77B58">
        <w:rPr>
          <w:rFonts w:ascii="Times New Roman" w:hAnsi="Times New Roman"/>
        </w:rPr>
        <w:t>521.241,44</w:t>
      </w:r>
    </w:p>
    <w:p w:rsidR="00CC2D2B" w:rsidRPr="006022FC" w:rsidRDefault="00CC2D2B" w:rsidP="00C61388">
      <w:pPr>
        <w:ind w:left="360"/>
        <w:jc w:val="both"/>
        <w:rPr>
          <w:rFonts w:ascii="Times New Roman" w:hAnsi="Times New Roman"/>
        </w:rPr>
      </w:pPr>
      <w:r w:rsidRPr="006022FC">
        <w:rPr>
          <w:rFonts w:ascii="Times New Roman" w:hAnsi="Times New Roman"/>
        </w:rPr>
        <w:t>B.9 Godimento di beni di terzi</w:t>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t xml:space="preserve">              € </w:t>
      </w:r>
      <w:r w:rsidR="00F77B58">
        <w:rPr>
          <w:rFonts w:ascii="Times New Roman" w:hAnsi="Times New Roman"/>
        </w:rPr>
        <w:t>259.000,00</w:t>
      </w:r>
    </w:p>
    <w:p w:rsidR="00CC2D2B" w:rsidRPr="006022FC" w:rsidRDefault="00CC2D2B" w:rsidP="00C61388">
      <w:pPr>
        <w:ind w:left="360"/>
        <w:jc w:val="both"/>
        <w:rPr>
          <w:rFonts w:ascii="Times New Roman" w:hAnsi="Times New Roman"/>
        </w:rPr>
      </w:pPr>
      <w:r w:rsidRPr="006022FC">
        <w:rPr>
          <w:rFonts w:ascii="Times New Roman" w:hAnsi="Times New Roman"/>
        </w:rPr>
        <w:t>B.10 Personale</w:t>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t xml:space="preserve">          € </w:t>
      </w:r>
      <w:r w:rsidR="00F77B58">
        <w:rPr>
          <w:rFonts w:ascii="Times New Roman" w:hAnsi="Times New Roman"/>
        </w:rPr>
        <w:t>5.329.800,00</w:t>
      </w:r>
    </w:p>
    <w:p w:rsidR="00CC2D2B" w:rsidRPr="006022FC" w:rsidRDefault="00CC2D2B" w:rsidP="00C61388">
      <w:pPr>
        <w:ind w:left="360"/>
        <w:jc w:val="both"/>
        <w:rPr>
          <w:rFonts w:ascii="Times New Roman" w:hAnsi="Times New Roman"/>
        </w:rPr>
      </w:pPr>
      <w:r w:rsidRPr="006022FC">
        <w:rPr>
          <w:rFonts w:ascii="Times New Roman" w:hAnsi="Times New Roman"/>
        </w:rPr>
        <w:t>B.11 Ammortamenti e svalutazioni</w:t>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t xml:space="preserve">             € </w:t>
      </w:r>
      <w:r w:rsidR="00F77B58">
        <w:rPr>
          <w:rFonts w:ascii="Times New Roman" w:hAnsi="Times New Roman"/>
        </w:rPr>
        <w:t>456.723,82</w:t>
      </w:r>
    </w:p>
    <w:p w:rsidR="00CC2D2B" w:rsidRPr="006022FC" w:rsidRDefault="00CC2D2B" w:rsidP="00C61388">
      <w:pPr>
        <w:ind w:left="360"/>
        <w:jc w:val="both"/>
        <w:rPr>
          <w:rFonts w:ascii="Times New Roman" w:hAnsi="Times New Roman"/>
        </w:rPr>
      </w:pPr>
      <w:r w:rsidRPr="006022FC">
        <w:rPr>
          <w:rFonts w:ascii="Times New Roman" w:hAnsi="Times New Roman"/>
        </w:rPr>
        <w:t xml:space="preserve">B.12 Accantonamenti per rischi e oneri </w:t>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t xml:space="preserve">             € </w:t>
      </w:r>
      <w:r w:rsidR="00F77B58">
        <w:rPr>
          <w:rFonts w:ascii="Times New Roman" w:hAnsi="Times New Roman"/>
        </w:rPr>
        <w:t>961.520,95</w:t>
      </w:r>
    </w:p>
    <w:p w:rsidR="00CC2D2B" w:rsidRPr="006022FC" w:rsidRDefault="00CC2D2B" w:rsidP="00C61388">
      <w:pPr>
        <w:ind w:left="360"/>
        <w:jc w:val="both"/>
        <w:rPr>
          <w:rFonts w:ascii="Times New Roman" w:hAnsi="Times New Roman"/>
        </w:rPr>
      </w:pPr>
      <w:r w:rsidRPr="006022FC">
        <w:rPr>
          <w:rFonts w:ascii="Times New Roman" w:hAnsi="Times New Roman"/>
        </w:rPr>
        <w:t xml:space="preserve">B.13 Oneri diversi di gestione </w:t>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t xml:space="preserve">             € </w:t>
      </w:r>
      <w:r w:rsidR="00F77B58">
        <w:rPr>
          <w:rFonts w:ascii="Times New Roman" w:hAnsi="Times New Roman"/>
        </w:rPr>
        <w:t>516.876,18</w:t>
      </w:r>
    </w:p>
    <w:p w:rsidR="00CC2D2B" w:rsidRPr="006022FC" w:rsidRDefault="00CC2D2B" w:rsidP="00C61388">
      <w:pPr>
        <w:ind w:left="360"/>
        <w:jc w:val="both"/>
        <w:rPr>
          <w:rFonts w:ascii="Times New Roman" w:hAnsi="Times New Roman"/>
          <w:b/>
        </w:rPr>
      </w:pPr>
      <w:r w:rsidRPr="006022FC">
        <w:rPr>
          <w:rFonts w:ascii="Times New Roman" w:hAnsi="Times New Roman"/>
          <w:b/>
        </w:rPr>
        <w:lastRenderedPageBreak/>
        <w:t xml:space="preserve">Totale costi della produzione </w:t>
      </w:r>
      <w:r w:rsidRPr="006022FC">
        <w:rPr>
          <w:rFonts w:ascii="Times New Roman" w:hAnsi="Times New Roman"/>
          <w:b/>
        </w:rPr>
        <w:tab/>
      </w:r>
      <w:r w:rsidRPr="006022FC">
        <w:rPr>
          <w:rFonts w:ascii="Times New Roman" w:hAnsi="Times New Roman"/>
          <w:b/>
        </w:rPr>
        <w:tab/>
      </w:r>
      <w:r w:rsidRPr="006022FC">
        <w:rPr>
          <w:rFonts w:ascii="Times New Roman" w:hAnsi="Times New Roman"/>
          <w:b/>
        </w:rPr>
        <w:tab/>
      </w:r>
      <w:r w:rsidRPr="006022FC">
        <w:rPr>
          <w:rFonts w:ascii="Times New Roman" w:hAnsi="Times New Roman"/>
          <w:b/>
        </w:rPr>
        <w:tab/>
      </w:r>
      <w:r w:rsidRPr="006022FC">
        <w:rPr>
          <w:rFonts w:ascii="Times New Roman" w:hAnsi="Times New Roman"/>
          <w:b/>
        </w:rPr>
        <w:tab/>
      </w:r>
      <w:r w:rsidRPr="006022FC">
        <w:rPr>
          <w:rFonts w:ascii="Times New Roman" w:hAnsi="Times New Roman"/>
          <w:b/>
        </w:rPr>
        <w:tab/>
        <w:t xml:space="preserve">        € </w:t>
      </w:r>
      <w:r w:rsidR="00F77B58">
        <w:rPr>
          <w:rFonts w:ascii="Times New Roman" w:hAnsi="Times New Roman"/>
          <w:b/>
        </w:rPr>
        <w:t>18.541.407,39</w:t>
      </w:r>
    </w:p>
    <w:p w:rsidR="00CC2D2B" w:rsidRPr="006022FC" w:rsidRDefault="00CC2D2B" w:rsidP="00C61388">
      <w:pPr>
        <w:ind w:left="360"/>
        <w:jc w:val="both"/>
        <w:rPr>
          <w:rFonts w:ascii="Times New Roman" w:hAnsi="Times New Roman"/>
          <w:b/>
        </w:rPr>
      </w:pPr>
    </w:p>
    <w:p w:rsidR="00CC2D2B" w:rsidRPr="006022FC" w:rsidRDefault="00CC2D2B" w:rsidP="00E45396">
      <w:pPr>
        <w:pStyle w:val="Titolo3"/>
        <w:jc w:val="both"/>
        <w:rPr>
          <w:rFonts w:ascii="Times New Roman" w:hAnsi="Times New Roman"/>
          <w:color w:val="auto"/>
        </w:rPr>
      </w:pPr>
      <w:bookmarkStart w:id="9" w:name="_Toc434913365"/>
      <w:r w:rsidRPr="006022FC">
        <w:rPr>
          <w:rFonts w:ascii="Times New Roman" w:hAnsi="Times New Roman"/>
          <w:color w:val="auto"/>
        </w:rPr>
        <w:t>Acquisti di servizi</w:t>
      </w:r>
      <w:bookmarkEnd w:id="9"/>
    </w:p>
    <w:p w:rsidR="00F77B58" w:rsidRDefault="00F77B58" w:rsidP="00C61388">
      <w:pPr>
        <w:jc w:val="both"/>
        <w:rPr>
          <w:rFonts w:ascii="Times New Roman" w:hAnsi="Times New Roman"/>
        </w:rPr>
      </w:pPr>
    </w:p>
    <w:p w:rsidR="00CC2D2B" w:rsidRPr="006022FC" w:rsidRDefault="00CC2D2B" w:rsidP="00C61388">
      <w:pPr>
        <w:jc w:val="both"/>
        <w:rPr>
          <w:rFonts w:ascii="Times New Roman" w:hAnsi="Times New Roman"/>
        </w:rPr>
      </w:pPr>
      <w:r w:rsidRPr="006022FC">
        <w:rPr>
          <w:rFonts w:ascii="Times New Roman" w:hAnsi="Times New Roman"/>
        </w:rPr>
        <w:t>In questa voce sono ricompresi gli oneri relativi a ogni prestazione fornita da terzi al Consorzio, riportando la distinzione dei costi per servizi manutentivi finanziata con risorse di terzi rispetto agli altri servizi.</w:t>
      </w:r>
    </w:p>
    <w:p w:rsidR="00CC2D2B" w:rsidRPr="006022FC" w:rsidRDefault="00CC2D2B" w:rsidP="00C61388">
      <w:pPr>
        <w:jc w:val="both"/>
        <w:rPr>
          <w:rFonts w:ascii="Times New Roman" w:hAnsi="Times New Roman"/>
        </w:rPr>
      </w:pPr>
      <w:r w:rsidRPr="006022FC">
        <w:rPr>
          <w:rFonts w:ascii="Times New Roman" w:hAnsi="Times New Roman"/>
        </w:rPr>
        <w:t>La voce Manutenzione straordinaria finanziata con risorse di terzi corrisponde alla quota di costi stimata per soddisfare i lavori relativi alle commesse di gestione straordinaria di cui alla precedente voce dei ricavi.</w:t>
      </w:r>
    </w:p>
    <w:p w:rsidR="00CC2D2B" w:rsidRPr="006022FC" w:rsidRDefault="00CC2D2B" w:rsidP="00C61388">
      <w:pPr>
        <w:jc w:val="both"/>
        <w:rPr>
          <w:rFonts w:ascii="Times New Roman" w:hAnsi="Times New Roman"/>
        </w:rPr>
      </w:pPr>
      <w:r w:rsidRPr="006022FC">
        <w:rPr>
          <w:rFonts w:ascii="Times New Roman" w:hAnsi="Times New Roman"/>
        </w:rPr>
        <w:t>Gli altri servizi comprendono tutte le spese che l’ente deve sostenere per il proprio funzionamento.</w:t>
      </w:r>
    </w:p>
    <w:p w:rsidR="00CC2D2B" w:rsidRPr="006022FC" w:rsidRDefault="00CC2D2B" w:rsidP="00C61388">
      <w:pPr>
        <w:jc w:val="both"/>
        <w:rPr>
          <w:rFonts w:ascii="Times New Roman" w:hAnsi="Times New Roman"/>
        </w:rPr>
      </w:pPr>
    </w:p>
    <w:p w:rsidR="00CC2D2B" w:rsidRPr="006022FC" w:rsidRDefault="00CC2D2B" w:rsidP="00E45396">
      <w:pPr>
        <w:pStyle w:val="Titolo3"/>
        <w:jc w:val="both"/>
        <w:rPr>
          <w:rFonts w:ascii="Times New Roman" w:hAnsi="Times New Roman"/>
          <w:color w:val="auto"/>
        </w:rPr>
      </w:pPr>
      <w:bookmarkStart w:id="10" w:name="_Toc434913366"/>
      <w:r w:rsidRPr="006022FC">
        <w:rPr>
          <w:rFonts w:ascii="Times New Roman" w:hAnsi="Times New Roman"/>
          <w:color w:val="auto"/>
        </w:rPr>
        <w:t>Personale</w:t>
      </w:r>
      <w:bookmarkEnd w:id="10"/>
    </w:p>
    <w:p w:rsidR="00CC2D2B" w:rsidRPr="006022FC" w:rsidRDefault="00CC2D2B" w:rsidP="00336C62">
      <w:pPr>
        <w:rPr>
          <w:rFonts w:ascii="Times New Roman" w:hAnsi="Times New Roman"/>
        </w:rPr>
      </w:pPr>
    </w:p>
    <w:p w:rsidR="00CC2D2B" w:rsidRPr="006022FC" w:rsidRDefault="00CC2D2B" w:rsidP="00C61388">
      <w:pPr>
        <w:jc w:val="both"/>
        <w:rPr>
          <w:rFonts w:ascii="Times New Roman" w:hAnsi="Times New Roman"/>
        </w:rPr>
      </w:pPr>
      <w:r w:rsidRPr="006022FC">
        <w:rPr>
          <w:rFonts w:ascii="Times New Roman" w:hAnsi="Times New Roman"/>
        </w:rPr>
        <w:t>La voce stima il costo del personale che si prevede il Consorzio sosterrà per l’anno 201</w:t>
      </w:r>
      <w:r w:rsidR="00F77B58">
        <w:rPr>
          <w:rFonts w:ascii="Times New Roman" w:hAnsi="Times New Roman"/>
        </w:rPr>
        <w:t>7</w:t>
      </w:r>
      <w:r w:rsidRPr="006022FC">
        <w:rPr>
          <w:rFonts w:ascii="Times New Roman" w:hAnsi="Times New Roman"/>
        </w:rPr>
        <w:t xml:space="preserve">. Essa accoglie tutti gli oneri sostenuti per il personale e, dunque, i salari e gli stipendi, la retribuzione accessoria, gli oneri previdenziali, assistenziali e assicurativi, i rimborsi spese e le indennità di trasferta, gli oneri di quiescenza e i contributi ENPAIA il tutto calcolato in base agli attuali inquadramenti ed ai contratti di lavoro in essere. </w:t>
      </w:r>
    </w:p>
    <w:p w:rsidR="00CC2D2B" w:rsidRPr="006022FC" w:rsidRDefault="00CC2D2B" w:rsidP="00C61388">
      <w:pPr>
        <w:jc w:val="both"/>
        <w:rPr>
          <w:rFonts w:ascii="Times New Roman" w:hAnsi="Times New Roman"/>
        </w:rPr>
      </w:pPr>
    </w:p>
    <w:p w:rsidR="00CC2D2B" w:rsidRPr="006022FC" w:rsidRDefault="00CC2D2B" w:rsidP="00E45396">
      <w:pPr>
        <w:pStyle w:val="Titolo3"/>
        <w:jc w:val="both"/>
        <w:rPr>
          <w:rFonts w:ascii="Times New Roman" w:hAnsi="Times New Roman"/>
          <w:color w:val="auto"/>
        </w:rPr>
      </w:pPr>
      <w:bookmarkStart w:id="11" w:name="_Toc434913367"/>
      <w:r w:rsidRPr="006022FC">
        <w:rPr>
          <w:rFonts w:ascii="Times New Roman" w:hAnsi="Times New Roman"/>
          <w:color w:val="auto"/>
        </w:rPr>
        <w:t>Quote di ammortamento e svalutazioni</w:t>
      </w:r>
      <w:bookmarkEnd w:id="11"/>
    </w:p>
    <w:p w:rsidR="00CC2D2B" w:rsidRPr="006022FC" w:rsidRDefault="00CC2D2B" w:rsidP="00336C62">
      <w:pPr>
        <w:rPr>
          <w:rFonts w:ascii="Times New Roman" w:hAnsi="Times New Roman"/>
        </w:rPr>
      </w:pPr>
    </w:p>
    <w:p w:rsidR="00CC2D2B" w:rsidRPr="006022FC" w:rsidRDefault="00CC2D2B" w:rsidP="00B934B8">
      <w:pPr>
        <w:jc w:val="both"/>
        <w:rPr>
          <w:rFonts w:ascii="Times New Roman" w:hAnsi="Times New Roman"/>
        </w:rPr>
      </w:pPr>
      <w:r w:rsidRPr="006022FC">
        <w:rPr>
          <w:rFonts w:ascii="Times New Roman" w:hAnsi="Times New Roman"/>
        </w:rPr>
        <w:t xml:space="preserve">La voce accoglie le quote di ammortamento di competenza dell’esercizio. Le quote di ammortamento sono state calcolate secondo le aliquote indicate </w:t>
      </w:r>
      <w:r w:rsidR="00FB0386">
        <w:rPr>
          <w:rFonts w:ascii="Times New Roman" w:hAnsi="Times New Roman"/>
        </w:rPr>
        <w:t xml:space="preserve">dalle linee guida regionali </w:t>
      </w:r>
      <w:r w:rsidRPr="006022FC">
        <w:rPr>
          <w:rFonts w:ascii="Times New Roman" w:hAnsi="Times New Roman"/>
        </w:rPr>
        <w:t xml:space="preserve">e rappresentano la quota stimata di deperimento di detti beni. La voce è stata calcolata considerando </w:t>
      </w:r>
      <w:r w:rsidR="00FB0386">
        <w:rPr>
          <w:rFonts w:ascii="Times New Roman" w:hAnsi="Times New Roman"/>
        </w:rPr>
        <w:t xml:space="preserve">i beni presenti ad oggi incrementati dei beni che si </w:t>
      </w:r>
      <w:r w:rsidRPr="006022FC">
        <w:rPr>
          <w:rFonts w:ascii="Times New Roman" w:hAnsi="Times New Roman"/>
        </w:rPr>
        <w:t>prevede verran</w:t>
      </w:r>
      <w:r w:rsidR="00FB0386">
        <w:rPr>
          <w:rFonts w:ascii="Times New Roman" w:hAnsi="Times New Roman"/>
        </w:rPr>
        <w:t>no acquistati nel corso del 2017</w:t>
      </w:r>
      <w:r w:rsidRPr="006022FC">
        <w:rPr>
          <w:rFonts w:ascii="Times New Roman" w:hAnsi="Times New Roman"/>
        </w:rPr>
        <w:t>.</w:t>
      </w:r>
    </w:p>
    <w:p w:rsidR="00CC2D2B" w:rsidRPr="006022FC" w:rsidRDefault="00CC2D2B" w:rsidP="00B934B8">
      <w:pPr>
        <w:jc w:val="both"/>
        <w:rPr>
          <w:rFonts w:ascii="Times New Roman" w:hAnsi="Times New Roman"/>
        </w:rPr>
      </w:pPr>
    </w:p>
    <w:p w:rsidR="00CC2D2B" w:rsidRPr="006022FC" w:rsidRDefault="00CC2D2B" w:rsidP="00E45396">
      <w:pPr>
        <w:pStyle w:val="Titolo3"/>
        <w:rPr>
          <w:rFonts w:ascii="Times New Roman" w:hAnsi="Times New Roman"/>
          <w:color w:val="auto"/>
        </w:rPr>
      </w:pPr>
      <w:bookmarkStart w:id="12" w:name="_Toc434913368"/>
      <w:r w:rsidRPr="006022FC">
        <w:rPr>
          <w:rFonts w:ascii="Times New Roman" w:hAnsi="Times New Roman"/>
          <w:color w:val="auto"/>
        </w:rPr>
        <w:t>Accantonamenti per rischi ed oneri</w:t>
      </w:r>
      <w:bookmarkEnd w:id="12"/>
    </w:p>
    <w:p w:rsidR="00CC2D2B" w:rsidRPr="006022FC" w:rsidRDefault="00CC2D2B" w:rsidP="00336C62">
      <w:pPr>
        <w:rPr>
          <w:rFonts w:ascii="Times New Roman" w:hAnsi="Times New Roman"/>
        </w:rPr>
      </w:pPr>
    </w:p>
    <w:p w:rsidR="00CC2D2B" w:rsidRPr="006022FC" w:rsidRDefault="00CC2D2B" w:rsidP="00C61388">
      <w:pPr>
        <w:jc w:val="both"/>
        <w:rPr>
          <w:rFonts w:ascii="Times New Roman" w:hAnsi="Times New Roman"/>
        </w:rPr>
      </w:pPr>
      <w:r w:rsidRPr="006022FC">
        <w:rPr>
          <w:rFonts w:ascii="Times New Roman" w:hAnsi="Times New Roman"/>
        </w:rPr>
        <w:t xml:space="preserve">La voce accoglie gli accantonamenti per rischi derivanti da mancata riscossione dei ruoli per € </w:t>
      </w:r>
      <w:r w:rsidR="00FB0386">
        <w:rPr>
          <w:rFonts w:ascii="Times New Roman" w:hAnsi="Times New Roman"/>
        </w:rPr>
        <w:t>640.500,00, l’accantonamento al Fondo di riserva per € 171.020,95 e l’accantonamento a Fondo rinnovamento idrovore per € 150.000,00</w:t>
      </w:r>
      <w:r w:rsidRPr="006022FC">
        <w:rPr>
          <w:rFonts w:ascii="Times New Roman" w:hAnsi="Times New Roman"/>
        </w:rPr>
        <w:t>.</w:t>
      </w:r>
    </w:p>
    <w:p w:rsidR="00CC2D2B" w:rsidRPr="006022FC" w:rsidRDefault="00CC2D2B" w:rsidP="00C61388">
      <w:pPr>
        <w:jc w:val="both"/>
        <w:rPr>
          <w:rFonts w:ascii="Times New Roman" w:hAnsi="Times New Roman"/>
        </w:rPr>
      </w:pPr>
    </w:p>
    <w:p w:rsidR="00CC2D2B" w:rsidRPr="006022FC" w:rsidRDefault="00CC2D2B" w:rsidP="00E45396">
      <w:pPr>
        <w:pStyle w:val="Titolo3"/>
        <w:jc w:val="both"/>
        <w:rPr>
          <w:rFonts w:ascii="Times New Roman" w:hAnsi="Times New Roman"/>
          <w:color w:val="auto"/>
        </w:rPr>
      </w:pPr>
      <w:bookmarkStart w:id="13" w:name="_Toc434913369"/>
      <w:r w:rsidRPr="006022FC">
        <w:rPr>
          <w:rFonts w:ascii="Times New Roman" w:hAnsi="Times New Roman"/>
          <w:color w:val="auto"/>
        </w:rPr>
        <w:t>Oneri diversi di gestione</w:t>
      </w:r>
      <w:bookmarkEnd w:id="13"/>
    </w:p>
    <w:p w:rsidR="00CC2D2B" w:rsidRPr="006022FC" w:rsidRDefault="00CC2D2B" w:rsidP="00336C62">
      <w:pPr>
        <w:rPr>
          <w:rFonts w:ascii="Times New Roman" w:hAnsi="Times New Roman"/>
        </w:rPr>
      </w:pPr>
    </w:p>
    <w:p w:rsidR="00CC2D2B" w:rsidRPr="006022FC" w:rsidRDefault="00CC2D2B" w:rsidP="00C61388">
      <w:pPr>
        <w:jc w:val="both"/>
        <w:rPr>
          <w:rFonts w:ascii="Times New Roman" w:hAnsi="Times New Roman"/>
        </w:rPr>
      </w:pPr>
      <w:r w:rsidRPr="006022FC">
        <w:rPr>
          <w:rFonts w:ascii="Times New Roman" w:hAnsi="Times New Roman"/>
        </w:rPr>
        <w:t>Si tratta di una voce a carattere residuale che accoglie tutti i costi che, per loro natura, non possono essere collocati in nessuna delle poste precedenti. Sono ricompresi in questa voce i costi per il funzionamento e i rimborsi degli organi consortili e dell’organo di revisione, i contributi associativi, le imposte e ta</w:t>
      </w:r>
      <w:r w:rsidR="00FB0386">
        <w:rPr>
          <w:rFonts w:ascii="Times New Roman" w:hAnsi="Times New Roman"/>
        </w:rPr>
        <w:t xml:space="preserve">sse per attività istituzionale e la quota di € 338.276,18 che rappresenta una partita di collegamento tra la contabilità finanziaria e quella economico-patrimoniale. Tale partita è stata collocata </w:t>
      </w:r>
      <w:r w:rsidR="00FB0386">
        <w:rPr>
          <w:rFonts w:ascii="Times New Roman" w:hAnsi="Times New Roman"/>
        </w:rPr>
        <w:t>fra i costi del Conto economico previsionale 2017 alla voce B.13.01.180 “altri oneri diversi” al fine “sterilizzare” così i ricavi non di competenza dell’esercizio 2017 in quanto riferiti alla copertura di costi pluriennali.</w:t>
      </w:r>
    </w:p>
    <w:p w:rsidR="00CC2D2B" w:rsidRPr="006022FC" w:rsidRDefault="00CC2D2B" w:rsidP="00C61388">
      <w:pPr>
        <w:jc w:val="both"/>
        <w:rPr>
          <w:rFonts w:ascii="Times New Roman" w:hAnsi="Times New Roman"/>
        </w:rPr>
      </w:pPr>
    </w:p>
    <w:p w:rsidR="00CC2D2B" w:rsidRPr="006022FC" w:rsidRDefault="00CC2D2B" w:rsidP="00E45396">
      <w:pPr>
        <w:pStyle w:val="Titolo2"/>
        <w:jc w:val="both"/>
        <w:rPr>
          <w:rFonts w:ascii="Times New Roman" w:hAnsi="Times New Roman"/>
          <w:color w:val="auto"/>
        </w:rPr>
      </w:pPr>
      <w:bookmarkStart w:id="14" w:name="_Toc434913370"/>
      <w:r w:rsidRPr="006022FC">
        <w:rPr>
          <w:rFonts w:ascii="Times New Roman" w:hAnsi="Times New Roman"/>
          <w:color w:val="auto"/>
        </w:rPr>
        <w:t>Proventi ed oneri finanziari</w:t>
      </w:r>
      <w:bookmarkEnd w:id="14"/>
    </w:p>
    <w:p w:rsidR="00CC2D2B" w:rsidRPr="006022FC" w:rsidRDefault="00CC2D2B" w:rsidP="00C61388">
      <w:pPr>
        <w:jc w:val="both"/>
        <w:rPr>
          <w:rFonts w:ascii="Times New Roman" w:hAnsi="Times New Roman"/>
        </w:rPr>
      </w:pPr>
    </w:p>
    <w:p w:rsidR="00CC2D2B" w:rsidRPr="006022FC" w:rsidRDefault="00CC2D2B" w:rsidP="00C61388">
      <w:pPr>
        <w:jc w:val="both"/>
        <w:rPr>
          <w:rFonts w:ascii="Times New Roman" w:hAnsi="Times New Roman"/>
        </w:rPr>
      </w:pPr>
      <w:r w:rsidRPr="006022FC">
        <w:rPr>
          <w:rFonts w:ascii="Times New Roman" w:hAnsi="Times New Roman"/>
        </w:rPr>
        <w:t>Rileva tutti i componenti positivi e negativi connessi con l’area finanziaria della gestione del Consorzio. Nel dettaglio abbiamo i seguenti valori:</w:t>
      </w:r>
    </w:p>
    <w:p w:rsidR="00CC2D2B" w:rsidRPr="006022FC" w:rsidRDefault="00CC2D2B" w:rsidP="00C61388">
      <w:pPr>
        <w:pStyle w:val="Paragrafoelenco"/>
        <w:numPr>
          <w:ilvl w:val="0"/>
          <w:numId w:val="6"/>
        </w:numPr>
        <w:jc w:val="both"/>
        <w:rPr>
          <w:rFonts w:ascii="Times New Roman" w:hAnsi="Times New Roman"/>
        </w:rPr>
      </w:pPr>
      <w:r w:rsidRPr="006022FC">
        <w:rPr>
          <w:rFonts w:ascii="Times New Roman" w:hAnsi="Times New Roman"/>
        </w:rPr>
        <w:t>PROVENTI E ONERI FINANZIARI</w:t>
      </w:r>
    </w:p>
    <w:p w:rsidR="00CC2D2B" w:rsidRPr="006022FC" w:rsidRDefault="00CC2D2B" w:rsidP="00C61388">
      <w:pPr>
        <w:ind w:left="360"/>
        <w:jc w:val="both"/>
        <w:rPr>
          <w:rFonts w:ascii="Times New Roman" w:hAnsi="Times New Roman"/>
        </w:rPr>
      </w:pPr>
      <w:r w:rsidRPr="006022FC">
        <w:rPr>
          <w:rFonts w:ascii="Times New Roman" w:hAnsi="Times New Roman"/>
        </w:rPr>
        <w:t xml:space="preserve">C.1 </w:t>
      </w:r>
      <w:r w:rsidR="00FB0386">
        <w:rPr>
          <w:rFonts w:ascii="Times New Roman" w:hAnsi="Times New Roman"/>
        </w:rPr>
        <w:t xml:space="preserve">Interessi attivi </w:t>
      </w:r>
      <w:r w:rsidR="00FB0386">
        <w:rPr>
          <w:rFonts w:ascii="Times New Roman" w:hAnsi="Times New Roman"/>
        </w:rPr>
        <w:tab/>
      </w:r>
      <w:r w:rsidR="00FB0386">
        <w:rPr>
          <w:rFonts w:ascii="Times New Roman" w:hAnsi="Times New Roman"/>
        </w:rPr>
        <w:tab/>
      </w:r>
      <w:r w:rsidR="00FB0386">
        <w:rPr>
          <w:rFonts w:ascii="Times New Roman" w:hAnsi="Times New Roman"/>
        </w:rPr>
        <w:tab/>
      </w:r>
      <w:r w:rsidR="00FB0386">
        <w:rPr>
          <w:rFonts w:ascii="Times New Roman" w:hAnsi="Times New Roman"/>
        </w:rPr>
        <w:tab/>
      </w:r>
      <w:r w:rsidR="00FB0386">
        <w:rPr>
          <w:rFonts w:ascii="Times New Roman" w:hAnsi="Times New Roman"/>
        </w:rPr>
        <w:tab/>
      </w:r>
      <w:r w:rsidR="00FB0386">
        <w:rPr>
          <w:rFonts w:ascii="Times New Roman" w:hAnsi="Times New Roman"/>
        </w:rPr>
        <w:tab/>
      </w:r>
      <w:r w:rsidR="00FB0386">
        <w:rPr>
          <w:rFonts w:ascii="Times New Roman" w:hAnsi="Times New Roman"/>
        </w:rPr>
        <w:tab/>
      </w:r>
      <w:r w:rsidR="00FB0386">
        <w:rPr>
          <w:rFonts w:ascii="Times New Roman" w:hAnsi="Times New Roman"/>
        </w:rPr>
        <w:tab/>
      </w:r>
      <w:r w:rsidR="00FB0386">
        <w:rPr>
          <w:rFonts w:ascii="Times New Roman" w:hAnsi="Times New Roman"/>
        </w:rPr>
        <w:tab/>
        <w:t xml:space="preserve">   € 5</w:t>
      </w:r>
      <w:r w:rsidRPr="006022FC">
        <w:rPr>
          <w:rFonts w:ascii="Times New Roman" w:hAnsi="Times New Roman"/>
        </w:rPr>
        <w:t>.000,00</w:t>
      </w:r>
    </w:p>
    <w:p w:rsidR="00CC2D2B" w:rsidRPr="006022FC" w:rsidRDefault="00CC2D2B" w:rsidP="00C61388">
      <w:pPr>
        <w:ind w:left="360"/>
        <w:jc w:val="both"/>
        <w:rPr>
          <w:rFonts w:ascii="Times New Roman" w:hAnsi="Times New Roman"/>
        </w:rPr>
      </w:pPr>
      <w:r w:rsidRPr="006022FC">
        <w:rPr>
          <w:rFonts w:ascii="Times New Roman" w:hAnsi="Times New Roman"/>
        </w:rPr>
        <w:t xml:space="preserve">C.3 Interessi passivi </w:t>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t xml:space="preserve">             € </w:t>
      </w:r>
      <w:r w:rsidR="00FB0386">
        <w:rPr>
          <w:rFonts w:ascii="Times New Roman" w:hAnsi="Times New Roman"/>
        </w:rPr>
        <w:t>219.150,00</w:t>
      </w:r>
    </w:p>
    <w:p w:rsidR="00CC2D2B" w:rsidRPr="006022FC" w:rsidRDefault="00CC2D2B" w:rsidP="00C61388">
      <w:pPr>
        <w:ind w:left="360"/>
        <w:jc w:val="both"/>
        <w:rPr>
          <w:rFonts w:ascii="Times New Roman" w:hAnsi="Times New Roman"/>
        </w:rPr>
      </w:pPr>
      <w:r w:rsidRPr="006022FC">
        <w:rPr>
          <w:rFonts w:ascii="Times New Roman" w:hAnsi="Times New Roman"/>
        </w:rPr>
        <w:t>C.4 Altri oneri finanziari</w:t>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t xml:space="preserve">  </w:t>
      </w:r>
      <w:r w:rsidR="00FB0386">
        <w:rPr>
          <w:rFonts w:ascii="Times New Roman" w:hAnsi="Times New Roman"/>
        </w:rPr>
        <w:t xml:space="preserve">        </w:t>
      </w:r>
      <w:r w:rsidRPr="006022FC">
        <w:rPr>
          <w:rFonts w:ascii="Times New Roman" w:hAnsi="Times New Roman"/>
        </w:rPr>
        <w:t xml:space="preserve">    € </w:t>
      </w:r>
      <w:r w:rsidR="00FB0386">
        <w:rPr>
          <w:rFonts w:ascii="Times New Roman" w:hAnsi="Times New Roman"/>
        </w:rPr>
        <w:t>30.000,00</w:t>
      </w:r>
    </w:p>
    <w:p w:rsidR="00CC2D2B" w:rsidRPr="006022FC" w:rsidRDefault="00CC2D2B" w:rsidP="00C61388">
      <w:pPr>
        <w:ind w:left="360"/>
        <w:jc w:val="both"/>
        <w:rPr>
          <w:rFonts w:ascii="Times New Roman" w:hAnsi="Times New Roman"/>
        </w:rPr>
      </w:pPr>
      <w:r w:rsidRPr="006022FC">
        <w:rPr>
          <w:rFonts w:ascii="Times New Roman" w:hAnsi="Times New Roman"/>
        </w:rPr>
        <w:t xml:space="preserve">Totale C) </w:t>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r>
      <w:r w:rsidRPr="006022FC">
        <w:rPr>
          <w:rFonts w:ascii="Times New Roman" w:hAnsi="Times New Roman"/>
        </w:rPr>
        <w:tab/>
        <w:t xml:space="preserve">  </w:t>
      </w:r>
      <w:r w:rsidR="00FB0386">
        <w:rPr>
          <w:rFonts w:ascii="Times New Roman" w:hAnsi="Times New Roman"/>
        </w:rPr>
        <w:t xml:space="preserve"> </w:t>
      </w:r>
      <w:r w:rsidRPr="006022FC">
        <w:rPr>
          <w:rFonts w:ascii="Times New Roman" w:hAnsi="Times New Roman"/>
        </w:rPr>
        <w:t xml:space="preserve">       -  € </w:t>
      </w:r>
      <w:r w:rsidR="00FB0386">
        <w:rPr>
          <w:rFonts w:ascii="Times New Roman" w:hAnsi="Times New Roman"/>
        </w:rPr>
        <w:t>214.150,00</w:t>
      </w:r>
    </w:p>
    <w:p w:rsidR="00CC2D2B" w:rsidRPr="006022FC" w:rsidRDefault="00CC2D2B" w:rsidP="00C61388">
      <w:pPr>
        <w:jc w:val="both"/>
        <w:rPr>
          <w:rFonts w:ascii="Times New Roman" w:hAnsi="Times New Roman"/>
        </w:rPr>
      </w:pPr>
      <w:r w:rsidRPr="006022FC">
        <w:rPr>
          <w:rFonts w:ascii="Times New Roman" w:hAnsi="Times New Roman"/>
        </w:rPr>
        <w:t xml:space="preserve">Gli interessi passivi si riferiscono principalmente agli interessi sui mutui in essere da parte dell’Ente </w:t>
      </w:r>
      <w:r w:rsidR="00FB0386">
        <w:rPr>
          <w:rFonts w:ascii="Times New Roman" w:hAnsi="Times New Roman"/>
        </w:rPr>
        <w:t>e agli oneri per gli interessi derivanti dal ricorso all’anticipazione di tesoreria che si prevede inferiore rispetto al 2016.</w:t>
      </w:r>
    </w:p>
    <w:p w:rsidR="00CC2D2B" w:rsidRPr="006022FC" w:rsidRDefault="00CC2D2B" w:rsidP="00C61388">
      <w:pPr>
        <w:jc w:val="both"/>
        <w:rPr>
          <w:rFonts w:ascii="Times New Roman" w:hAnsi="Times New Roman"/>
        </w:rPr>
      </w:pPr>
    </w:p>
    <w:p w:rsidR="00CC2D2B" w:rsidRPr="006022FC" w:rsidRDefault="00E45396" w:rsidP="00E45396">
      <w:pPr>
        <w:pStyle w:val="Titolo2"/>
        <w:jc w:val="both"/>
        <w:rPr>
          <w:rFonts w:ascii="Times New Roman" w:hAnsi="Times New Roman"/>
          <w:color w:val="auto"/>
        </w:rPr>
      </w:pPr>
      <w:bookmarkStart w:id="15" w:name="_Toc434913371"/>
      <w:r>
        <w:rPr>
          <w:rFonts w:ascii="Times New Roman" w:hAnsi="Times New Roman"/>
          <w:color w:val="auto"/>
        </w:rPr>
        <w:t>R</w:t>
      </w:r>
      <w:r w:rsidR="00CC2D2B" w:rsidRPr="006022FC">
        <w:rPr>
          <w:rFonts w:ascii="Times New Roman" w:hAnsi="Times New Roman"/>
          <w:color w:val="auto"/>
        </w:rPr>
        <w:t>ettifiche di valore delle attività finanziarie</w:t>
      </w:r>
      <w:bookmarkEnd w:id="15"/>
    </w:p>
    <w:p w:rsidR="00CC2D2B" w:rsidRPr="006022FC" w:rsidRDefault="00CC2D2B" w:rsidP="00C61388">
      <w:pPr>
        <w:jc w:val="both"/>
        <w:rPr>
          <w:rFonts w:ascii="Times New Roman" w:hAnsi="Times New Roman"/>
        </w:rPr>
      </w:pPr>
    </w:p>
    <w:p w:rsidR="00CC2D2B" w:rsidRPr="006022FC" w:rsidRDefault="00CC2D2B" w:rsidP="00C61388">
      <w:pPr>
        <w:jc w:val="both"/>
        <w:rPr>
          <w:rFonts w:ascii="Times New Roman" w:hAnsi="Times New Roman"/>
        </w:rPr>
      </w:pPr>
      <w:r w:rsidRPr="006022FC">
        <w:rPr>
          <w:rFonts w:ascii="Times New Roman" w:hAnsi="Times New Roman"/>
        </w:rPr>
        <w:t>Non sono previste rettifiche di valore delle attività finanziarie</w:t>
      </w:r>
    </w:p>
    <w:p w:rsidR="00CC2D2B" w:rsidRPr="006022FC" w:rsidRDefault="00CC2D2B" w:rsidP="00C61388">
      <w:pPr>
        <w:jc w:val="both"/>
        <w:rPr>
          <w:rFonts w:ascii="Times New Roman" w:hAnsi="Times New Roman"/>
        </w:rPr>
      </w:pPr>
    </w:p>
    <w:p w:rsidR="00CC2D2B" w:rsidRPr="006022FC" w:rsidRDefault="00CC2D2B" w:rsidP="00E45396">
      <w:pPr>
        <w:pStyle w:val="Titolo2"/>
        <w:jc w:val="both"/>
        <w:rPr>
          <w:rFonts w:ascii="Times New Roman" w:hAnsi="Times New Roman"/>
          <w:color w:val="auto"/>
        </w:rPr>
      </w:pPr>
      <w:bookmarkStart w:id="16" w:name="_Toc434913372"/>
      <w:r w:rsidRPr="006022FC">
        <w:rPr>
          <w:rFonts w:ascii="Times New Roman" w:hAnsi="Times New Roman"/>
          <w:color w:val="auto"/>
        </w:rPr>
        <w:t>Proventi ed oneri straordinari</w:t>
      </w:r>
      <w:bookmarkEnd w:id="16"/>
    </w:p>
    <w:p w:rsidR="00CC2D2B" w:rsidRPr="006022FC" w:rsidRDefault="00CC2D2B" w:rsidP="00C61388">
      <w:pPr>
        <w:jc w:val="both"/>
        <w:rPr>
          <w:rFonts w:ascii="Times New Roman" w:hAnsi="Times New Roman"/>
        </w:rPr>
      </w:pPr>
    </w:p>
    <w:p w:rsidR="00FB0386" w:rsidRPr="006022FC" w:rsidRDefault="00FB0386" w:rsidP="00FB0386">
      <w:pPr>
        <w:jc w:val="both"/>
        <w:rPr>
          <w:rFonts w:ascii="Times New Roman" w:hAnsi="Times New Roman"/>
        </w:rPr>
      </w:pPr>
      <w:r w:rsidRPr="006022FC">
        <w:rPr>
          <w:rFonts w:ascii="Times New Roman" w:hAnsi="Times New Roman"/>
        </w:rPr>
        <w:t>Non sono previste rettifiche di valore delle attività finanziarie</w:t>
      </w:r>
    </w:p>
    <w:p w:rsidR="00CC2D2B" w:rsidRPr="006022FC" w:rsidRDefault="00CC2D2B" w:rsidP="00C61388">
      <w:pPr>
        <w:jc w:val="both"/>
        <w:rPr>
          <w:rFonts w:ascii="Times New Roman" w:hAnsi="Times New Roman"/>
        </w:rPr>
      </w:pPr>
    </w:p>
    <w:p w:rsidR="00CC2D2B" w:rsidRPr="006022FC" w:rsidRDefault="00CC2D2B" w:rsidP="00E45396">
      <w:pPr>
        <w:pStyle w:val="Titolo2"/>
        <w:jc w:val="both"/>
        <w:rPr>
          <w:rFonts w:ascii="Times New Roman" w:hAnsi="Times New Roman"/>
          <w:color w:val="auto"/>
        </w:rPr>
      </w:pPr>
      <w:bookmarkStart w:id="17" w:name="_Toc434913373"/>
      <w:bookmarkStart w:id="18" w:name="_GoBack"/>
      <w:bookmarkEnd w:id="18"/>
      <w:r w:rsidRPr="006022FC">
        <w:rPr>
          <w:rFonts w:ascii="Times New Roman" w:hAnsi="Times New Roman"/>
          <w:color w:val="auto"/>
        </w:rPr>
        <w:t>Imposte e tasse</w:t>
      </w:r>
      <w:bookmarkEnd w:id="17"/>
    </w:p>
    <w:p w:rsidR="00CC2D2B" w:rsidRPr="006022FC" w:rsidRDefault="00CC2D2B" w:rsidP="00C61388">
      <w:pPr>
        <w:jc w:val="both"/>
        <w:rPr>
          <w:rFonts w:ascii="Times New Roman" w:hAnsi="Times New Roman"/>
        </w:rPr>
      </w:pPr>
    </w:p>
    <w:p w:rsidR="00CC2D2B" w:rsidRPr="006022FC" w:rsidRDefault="00CC2D2B" w:rsidP="00C61388">
      <w:pPr>
        <w:jc w:val="both"/>
        <w:rPr>
          <w:rFonts w:ascii="Times New Roman" w:hAnsi="Times New Roman"/>
        </w:rPr>
      </w:pPr>
      <w:r w:rsidRPr="006022FC">
        <w:rPr>
          <w:rFonts w:ascii="Times New Roman" w:hAnsi="Times New Roman"/>
        </w:rPr>
        <w:t>Tale posta si riferisce</w:t>
      </w:r>
      <w:r w:rsidR="00FB0386">
        <w:rPr>
          <w:rFonts w:ascii="Times New Roman" w:hAnsi="Times New Roman"/>
        </w:rPr>
        <w:t xml:space="preserve"> essenzialmente all’IRAP stimata</w:t>
      </w:r>
      <w:r w:rsidRPr="006022FC">
        <w:rPr>
          <w:rFonts w:ascii="Times New Roman" w:hAnsi="Times New Roman"/>
        </w:rPr>
        <w:t xml:space="preserve"> di competenza de</w:t>
      </w:r>
      <w:r w:rsidR="00973874" w:rsidRPr="006022FC">
        <w:rPr>
          <w:rFonts w:ascii="Times New Roman" w:hAnsi="Times New Roman"/>
        </w:rPr>
        <w:t>l Consorzio per l’esercizio 201</w:t>
      </w:r>
      <w:r w:rsidR="00BA40D6" w:rsidRPr="006022FC">
        <w:rPr>
          <w:rFonts w:ascii="Times New Roman" w:hAnsi="Times New Roman"/>
        </w:rPr>
        <w:t>7</w:t>
      </w:r>
      <w:r w:rsidR="00FB0386">
        <w:rPr>
          <w:rFonts w:ascii="Times New Roman" w:hAnsi="Times New Roman"/>
        </w:rPr>
        <w:t>.</w:t>
      </w:r>
    </w:p>
    <w:p w:rsidR="00CC2D2B" w:rsidRPr="006022FC" w:rsidRDefault="00CC2D2B" w:rsidP="00C61388">
      <w:pPr>
        <w:jc w:val="both"/>
        <w:rPr>
          <w:rFonts w:ascii="Times New Roman" w:hAnsi="Times New Roman"/>
        </w:rPr>
      </w:pPr>
    </w:p>
    <w:p w:rsidR="00CC2D2B" w:rsidRPr="006022FC" w:rsidRDefault="00CC2D2B" w:rsidP="00C61388">
      <w:pPr>
        <w:jc w:val="both"/>
        <w:rPr>
          <w:rFonts w:ascii="Times New Roman" w:hAnsi="Times New Roman"/>
        </w:rPr>
      </w:pPr>
      <w:r w:rsidRPr="006022FC">
        <w:rPr>
          <w:rFonts w:ascii="Times New Roman" w:hAnsi="Times New Roman"/>
        </w:rPr>
        <w:t xml:space="preserve">Grosseto, </w:t>
      </w:r>
      <w:r w:rsidR="00FB0386">
        <w:rPr>
          <w:rFonts w:ascii="Times New Roman" w:hAnsi="Times New Roman"/>
        </w:rPr>
        <w:t>30 Novembre 2016</w:t>
      </w:r>
      <w:r w:rsidRPr="006022FC">
        <w:rPr>
          <w:rFonts w:ascii="Times New Roman" w:hAnsi="Times New Roman"/>
        </w:rPr>
        <w:t>.</w:t>
      </w:r>
    </w:p>
    <w:p w:rsidR="00CC2D2B" w:rsidRPr="006022FC" w:rsidRDefault="00CC2D2B" w:rsidP="00C61388">
      <w:pPr>
        <w:jc w:val="both"/>
        <w:rPr>
          <w:rFonts w:ascii="Times New Roman" w:hAnsi="Times New Roman"/>
        </w:rPr>
      </w:pPr>
    </w:p>
    <w:p w:rsidR="00CC2D2B" w:rsidRPr="006022FC" w:rsidRDefault="00CC2D2B" w:rsidP="00C61388">
      <w:pPr>
        <w:jc w:val="both"/>
        <w:rPr>
          <w:rFonts w:ascii="Times New Roman" w:hAnsi="Times New Roman"/>
        </w:rPr>
      </w:pPr>
    </w:p>
    <w:p w:rsidR="00CC2D2B" w:rsidRPr="006022FC" w:rsidRDefault="00CC2D2B" w:rsidP="006D01EC">
      <w:pPr>
        <w:spacing w:after="0" w:line="240" w:lineRule="auto"/>
        <w:jc w:val="both"/>
        <w:rPr>
          <w:rFonts w:ascii="Times New Roman" w:hAnsi="Times New Roman"/>
        </w:rPr>
      </w:pPr>
      <w:r w:rsidRPr="006022FC">
        <w:rPr>
          <w:rFonts w:ascii="Times New Roman" w:hAnsi="Times New Roman"/>
        </w:rPr>
        <w:t xml:space="preserve">              IL DIRETTORE GENERALE                                                               IL PRESIDENTE</w:t>
      </w:r>
    </w:p>
    <w:p w:rsidR="00CC2D2B" w:rsidRPr="006022FC" w:rsidRDefault="00CC2D2B" w:rsidP="006D01EC">
      <w:pPr>
        <w:spacing w:after="0" w:line="240" w:lineRule="auto"/>
        <w:jc w:val="both"/>
        <w:rPr>
          <w:rFonts w:ascii="Times New Roman" w:hAnsi="Times New Roman"/>
        </w:rPr>
      </w:pPr>
      <w:r w:rsidRPr="006022FC">
        <w:rPr>
          <w:rFonts w:ascii="Times New Roman" w:hAnsi="Times New Roman"/>
        </w:rPr>
        <w:t xml:space="preserve">               (Arch. Fabio </w:t>
      </w:r>
      <w:proofErr w:type="spellStart"/>
      <w:r w:rsidRPr="006022FC">
        <w:rPr>
          <w:rFonts w:ascii="Times New Roman" w:hAnsi="Times New Roman"/>
        </w:rPr>
        <w:t>Zappalorti</w:t>
      </w:r>
      <w:proofErr w:type="spellEnd"/>
      <w:r w:rsidRPr="006022FC">
        <w:rPr>
          <w:rFonts w:ascii="Times New Roman" w:hAnsi="Times New Roman"/>
        </w:rPr>
        <w:t xml:space="preserve">)                                                              (Fabio </w:t>
      </w:r>
      <w:proofErr w:type="spellStart"/>
      <w:r w:rsidRPr="006022FC">
        <w:rPr>
          <w:rFonts w:ascii="Times New Roman" w:hAnsi="Times New Roman"/>
        </w:rPr>
        <w:t>Bellacchi</w:t>
      </w:r>
      <w:proofErr w:type="spellEnd"/>
      <w:r w:rsidRPr="006022FC">
        <w:rPr>
          <w:rFonts w:ascii="Times New Roman" w:hAnsi="Times New Roman"/>
        </w:rPr>
        <w:t>)</w:t>
      </w:r>
    </w:p>
    <w:sectPr w:rsidR="00CC2D2B" w:rsidRPr="006022FC" w:rsidSect="00E25EC3">
      <w:footerReference w:type="default" r:id="rId8"/>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D2B" w:rsidRDefault="00CC2D2B" w:rsidP="006C2240">
      <w:pPr>
        <w:spacing w:after="0" w:line="240" w:lineRule="auto"/>
      </w:pPr>
      <w:r>
        <w:separator/>
      </w:r>
    </w:p>
  </w:endnote>
  <w:endnote w:type="continuationSeparator" w:id="0">
    <w:p w:rsidR="00CC2D2B" w:rsidRDefault="00CC2D2B" w:rsidP="006C2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2B" w:rsidRDefault="00BA40D6">
    <w:pPr>
      <w:pStyle w:val="Pidipagina"/>
      <w:jc w:val="right"/>
    </w:pPr>
    <w:r>
      <w:fldChar w:fldCharType="begin"/>
    </w:r>
    <w:r>
      <w:instrText>PAGE   \* MERGEFORMAT</w:instrText>
    </w:r>
    <w:r>
      <w:fldChar w:fldCharType="separate"/>
    </w:r>
    <w:r w:rsidR="00E45396">
      <w:rPr>
        <w:noProof/>
      </w:rPr>
      <w:t>6</w:t>
    </w:r>
    <w:r>
      <w:rPr>
        <w:noProof/>
      </w:rPr>
      <w:fldChar w:fldCharType="end"/>
    </w:r>
  </w:p>
  <w:p w:rsidR="00CC2D2B" w:rsidRDefault="00CC2D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D2B" w:rsidRDefault="00CC2D2B" w:rsidP="006C2240">
      <w:pPr>
        <w:spacing w:after="0" w:line="240" w:lineRule="auto"/>
      </w:pPr>
      <w:r>
        <w:separator/>
      </w:r>
    </w:p>
  </w:footnote>
  <w:footnote w:type="continuationSeparator" w:id="0">
    <w:p w:rsidR="00CC2D2B" w:rsidRDefault="00CC2D2B" w:rsidP="006C2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810"/>
    <w:multiLevelType w:val="multilevel"/>
    <w:tmpl w:val="A6083528"/>
    <w:lvl w:ilvl="0">
      <w:start w:val="3"/>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15:restartNumberingAfterBreak="0">
    <w:nsid w:val="0A9810EF"/>
    <w:multiLevelType w:val="hybridMultilevel"/>
    <w:tmpl w:val="634838C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8600F7"/>
    <w:multiLevelType w:val="hybridMultilevel"/>
    <w:tmpl w:val="7C30DE4C"/>
    <w:lvl w:ilvl="0" w:tplc="04100001">
      <w:start w:val="1"/>
      <w:numFmt w:val="bullet"/>
      <w:lvlText w:val=""/>
      <w:lvlJc w:val="left"/>
      <w:pPr>
        <w:ind w:left="940" w:hanging="360"/>
      </w:pPr>
      <w:rPr>
        <w:rFonts w:ascii="Symbol" w:hAnsi="Symbol" w:hint="default"/>
      </w:rPr>
    </w:lvl>
    <w:lvl w:ilvl="1" w:tplc="04100003" w:tentative="1">
      <w:start w:val="1"/>
      <w:numFmt w:val="bullet"/>
      <w:lvlText w:val="o"/>
      <w:lvlJc w:val="left"/>
      <w:pPr>
        <w:ind w:left="1660" w:hanging="360"/>
      </w:pPr>
      <w:rPr>
        <w:rFonts w:ascii="Courier New" w:hAnsi="Courier New" w:cs="Courier New" w:hint="default"/>
      </w:rPr>
    </w:lvl>
    <w:lvl w:ilvl="2" w:tplc="04100005" w:tentative="1">
      <w:start w:val="1"/>
      <w:numFmt w:val="bullet"/>
      <w:lvlText w:val=""/>
      <w:lvlJc w:val="left"/>
      <w:pPr>
        <w:ind w:left="2380" w:hanging="360"/>
      </w:pPr>
      <w:rPr>
        <w:rFonts w:ascii="Wingdings" w:hAnsi="Wingdings" w:hint="default"/>
      </w:rPr>
    </w:lvl>
    <w:lvl w:ilvl="3" w:tplc="04100001" w:tentative="1">
      <w:start w:val="1"/>
      <w:numFmt w:val="bullet"/>
      <w:lvlText w:val=""/>
      <w:lvlJc w:val="left"/>
      <w:pPr>
        <w:ind w:left="3100" w:hanging="360"/>
      </w:pPr>
      <w:rPr>
        <w:rFonts w:ascii="Symbol" w:hAnsi="Symbol" w:hint="default"/>
      </w:rPr>
    </w:lvl>
    <w:lvl w:ilvl="4" w:tplc="04100003" w:tentative="1">
      <w:start w:val="1"/>
      <w:numFmt w:val="bullet"/>
      <w:lvlText w:val="o"/>
      <w:lvlJc w:val="left"/>
      <w:pPr>
        <w:ind w:left="3820" w:hanging="360"/>
      </w:pPr>
      <w:rPr>
        <w:rFonts w:ascii="Courier New" w:hAnsi="Courier New" w:cs="Courier New" w:hint="default"/>
      </w:rPr>
    </w:lvl>
    <w:lvl w:ilvl="5" w:tplc="04100005" w:tentative="1">
      <w:start w:val="1"/>
      <w:numFmt w:val="bullet"/>
      <w:lvlText w:val=""/>
      <w:lvlJc w:val="left"/>
      <w:pPr>
        <w:ind w:left="4540" w:hanging="360"/>
      </w:pPr>
      <w:rPr>
        <w:rFonts w:ascii="Wingdings" w:hAnsi="Wingdings" w:hint="default"/>
      </w:rPr>
    </w:lvl>
    <w:lvl w:ilvl="6" w:tplc="04100001" w:tentative="1">
      <w:start w:val="1"/>
      <w:numFmt w:val="bullet"/>
      <w:lvlText w:val=""/>
      <w:lvlJc w:val="left"/>
      <w:pPr>
        <w:ind w:left="5260" w:hanging="360"/>
      </w:pPr>
      <w:rPr>
        <w:rFonts w:ascii="Symbol" w:hAnsi="Symbol" w:hint="default"/>
      </w:rPr>
    </w:lvl>
    <w:lvl w:ilvl="7" w:tplc="04100003" w:tentative="1">
      <w:start w:val="1"/>
      <w:numFmt w:val="bullet"/>
      <w:lvlText w:val="o"/>
      <w:lvlJc w:val="left"/>
      <w:pPr>
        <w:ind w:left="5980" w:hanging="360"/>
      </w:pPr>
      <w:rPr>
        <w:rFonts w:ascii="Courier New" w:hAnsi="Courier New" w:cs="Courier New" w:hint="default"/>
      </w:rPr>
    </w:lvl>
    <w:lvl w:ilvl="8" w:tplc="04100005" w:tentative="1">
      <w:start w:val="1"/>
      <w:numFmt w:val="bullet"/>
      <w:lvlText w:val=""/>
      <w:lvlJc w:val="left"/>
      <w:pPr>
        <w:ind w:left="6700" w:hanging="360"/>
      </w:pPr>
      <w:rPr>
        <w:rFonts w:ascii="Wingdings" w:hAnsi="Wingdings" w:hint="default"/>
      </w:rPr>
    </w:lvl>
  </w:abstractNum>
  <w:abstractNum w:abstractNumId="3" w15:restartNumberingAfterBreak="0">
    <w:nsid w:val="32825525"/>
    <w:multiLevelType w:val="hybridMultilevel"/>
    <w:tmpl w:val="717E77CE"/>
    <w:lvl w:ilvl="0" w:tplc="9BEC42A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05071C7"/>
    <w:multiLevelType w:val="hybridMultilevel"/>
    <w:tmpl w:val="A11076BC"/>
    <w:lvl w:ilvl="0" w:tplc="8CC04ADE">
      <w:start w:val="9"/>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AD56E1"/>
    <w:multiLevelType w:val="hybridMultilevel"/>
    <w:tmpl w:val="99CA4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4E34A6"/>
    <w:multiLevelType w:val="hybridMultilevel"/>
    <w:tmpl w:val="EC0E5BB2"/>
    <w:lvl w:ilvl="0" w:tplc="04100001">
      <w:start w:val="1"/>
      <w:numFmt w:val="bullet"/>
      <w:lvlText w:val=""/>
      <w:lvlJc w:val="left"/>
      <w:pPr>
        <w:ind w:left="940" w:hanging="360"/>
      </w:pPr>
      <w:rPr>
        <w:rFonts w:ascii="Symbol" w:hAnsi="Symbol" w:hint="default"/>
      </w:rPr>
    </w:lvl>
    <w:lvl w:ilvl="1" w:tplc="04100003" w:tentative="1">
      <w:start w:val="1"/>
      <w:numFmt w:val="bullet"/>
      <w:lvlText w:val="o"/>
      <w:lvlJc w:val="left"/>
      <w:pPr>
        <w:ind w:left="1660" w:hanging="360"/>
      </w:pPr>
      <w:rPr>
        <w:rFonts w:ascii="Courier New" w:hAnsi="Courier New" w:cs="Courier New" w:hint="default"/>
      </w:rPr>
    </w:lvl>
    <w:lvl w:ilvl="2" w:tplc="04100005" w:tentative="1">
      <w:start w:val="1"/>
      <w:numFmt w:val="bullet"/>
      <w:lvlText w:val=""/>
      <w:lvlJc w:val="left"/>
      <w:pPr>
        <w:ind w:left="2380" w:hanging="360"/>
      </w:pPr>
      <w:rPr>
        <w:rFonts w:ascii="Wingdings" w:hAnsi="Wingdings" w:hint="default"/>
      </w:rPr>
    </w:lvl>
    <w:lvl w:ilvl="3" w:tplc="04100001" w:tentative="1">
      <w:start w:val="1"/>
      <w:numFmt w:val="bullet"/>
      <w:lvlText w:val=""/>
      <w:lvlJc w:val="left"/>
      <w:pPr>
        <w:ind w:left="3100" w:hanging="360"/>
      </w:pPr>
      <w:rPr>
        <w:rFonts w:ascii="Symbol" w:hAnsi="Symbol" w:hint="default"/>
      </w:rPr>
    </w:lvl>
    <w:lvl w:ilvl="4" w:tplc="04100003" w:tentative="1">
      <w:start w:val="1"/>
      <w:numFmt w:val="bullet"/>
      <w:lvlText w:val="o"/>
      <w:lvlJc w:val="left"/>
      <w:pPr>
        <w:ind w:left="3820" w:hanging="360"/>
      </w:pPr>
      <w:rPr>
        <w:rFonts w:ascii="Courier New" w:hAnsi="Courier New" w:cs="Courier New" w:hint="default"/>
      </w:rPr>
    </w:lvl>
    <w:lvl w:ilvl="5" w:tplc="04100005" w:tentative="1">
      <w:start w:val="1"/>
      <w:numFmt w:val="bullet"/>
      <w:lvlText w:val=""/>
      <w:lvlJc w:val="left"/>
      <w:pPr>
        <w:ind w:left="4540" w:hanging="360"/>
      </w:pPr>
      <w:rPr>
        <w:rFonts w:ascii="Wingdings" w:hAnsi="Wingdings" w:hint="default"/>
      </w:rPr>
    </w:lvl>
    <w:lvl w:ilvl="6" w:tplc="04100001" w:tentative="1">
      <w:start w:val="1"/>
      <w:numFmt w:val="bullet"/>
      <w:lvlText w:val=""/>
      <w:lvlJc w:val="left"/>
      <w:pPr>
        <w:ind w:left="5260" w:hanging="360"/>
      </w:pPr>
      <w:rPr>
        <w:rFonts w:ascii="Symbol" w:hAnsi="Symbol" w:hint="default"/>
      </w:rPr>
    </w:lvl>
    <w:lvl w:ilvl="7" w:tplc="04100003" w:tentative="1">
      <w:start w:val="1"/>
      <w:numFmt w:val="bullet"/>
      <w:lvlText w:val="o"/>
      <w:lvlJc w:val="left"/>
      <w:pPr>
        <w:ind w:left="5980" w:hanging="360"/>
      </w:pPr>
      <w:rPr>
        <w:rFonts w:ascii="Courier New" w:hAnsi="Courier New" w:cs="Courier New" w:hint="default"/>
      </w:rPr>
    </w:lvl>
    <w:lvl w:ilvl="8" w:tplc="04100005" w:tentative="1">
      <w:start w:val="1"/>
      <w:numFmt w:val="bullet"/>
      <w:lvlText w:val=""/>
      <w:lvlJc w:val="left"/>
      <w:pPr>
        <w:ind w:left="6700" w:hanging="360"/>
      </w:pPr>
      <w:rPr>
        <w:rFonts w:ascii="Wingdings" w:hAnsi="Wingdings" w:hint="default"/>
      </w:rPr>
    </w:lvl>
  </w:abstractNum>
  <w:abstractNum w:abstractNumId="7" w15:restartNumberingAfterBreak="0">
    <w:nsid w:val="4E6410AD"/>
    <w:multiLevelType w:val="hybridMultilevel"/>
    <w:tmpl w:val="A114109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FC22479"/>
    <w:multiLevelType w:val="multilevel"/>
    <w:tmpl w:val="D10AEB5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8"/>
  </w:num>
  <w:num w:numId="2">
    <w:abstractNumId w:val="7"/>
  </w:num>
  <w:num w:numId="3">
    <w:abstractNumId w:val="4"/>
  </w:num>
  <w:num w:numId="4">
    <w:abstractNumId w:val="5"/>
  </w:num>
  <w:num w:numId="5">
    <w:abstractNumId w:val="0"/>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40"/>
    <w:rsid w:val="00007216"/>
    <w:rsid w:val="0003349B"/>
    <w:rsid w:val="00052EB9"/>
    <w:rsid w:val="000728D1"/>
    <w:rsid w:val="000873F1"/>
    <w:rsid w:val="000A13B1"/>
    <w:rsid w:val="00102260"/>
    <w:rsid w:val="00114DFB"/>
    <w:rsid w:val="00126EB8"/>
    <w:rsid w:val="001315CA"/>
    <w:rsid w:val="00140F5F"/>
    <w:rsid w:val="0015002A"/>
    <w:rsid w:val="0016199C"/>
    <w:rsid w:val="001D7030"/>
    <w:rsid w:val="00217259"/>
    <w:rsid w:val="002214B7"/>
    <w:rsid w:val="00275A50"/>
    <w:rsid w:val="00277B92"/>
    <w:rsid w:val="0029520A"/>
    <w:rsid w:val="002B6CA3"/>
    <w:rsid w:val="002D6E1F"/>
    <w:rsid w:val="002E0278"/>
    <w:rsid w:val="002E54C3"/>
    <w:rsid w:val="00313C47"/>
    <w:rsid w:val="00336C62"/>
    <w:rsid w:val="003403D4"/>
    <w:rsid w:val="00355CC2"/>
    <w:rsid w:val="0037250B"/>
    <w:rsid w:val="00391489"/>
    <w:rsid w:val="003A4311"/>
    <w:rsid w:val="003A437A"/>
    <w:rsid w:val="003B7B51"/>
    <w:rsid w:val="003C0B09"/>
    <w:rsid w:val="003E0B07"/>
    <w:rsid w:val="003F4138"/>
    <w:rsid w:val="00403B4D"/>
    <w:rsid w:val="00417ED8"/>
    <w:rsid w:val="00432C1F"/>
    <w:rsid w:val="00494453"/>
    <w:rsid w:val="004B257F"/>
    <w:rsid w:val="004E2980"/>
    <w:rsid w:val="004E7DB8"/>
    <w:rsid w:val="004F32AF"/>
    <w:rsid w:val="004F32D2"/>
    <w:rsid w:val="0051794E"/>
    <w:rsid w:val="005229F8"/>
    <w:rsid w:val="00547AA4"/>
    <w:rsid w:val="00567F34"/>
    <w:rsid w:val="005723B6"/>
    <w:rsid w:val="00573CCF"/>
    <w:rsid w:val="0058754F"/>
    <w:rsid w:val="00593779"/>
    <w:rsid w:val="00597D00"/>
    <w:rsid w:val="005B1425"/>
    <w:rsid w:val="005C4690"/>
    <w:rsid w:val="005C7CFD"/>
    <w:rsid w:val="005D4DEF"/>
    <w:rsid w:val="005E2AB2"/>
    <w:rsid w:val="005E73FA"/>
    <w:rsid w:val="006022FC"/>
    <w:rsid w:val="00602EE8"/>
    <w:rsid w:val="00613756"/>
    <w:rsid w:val="0061466F"/>
    <w:rsid w:val="00654660"/>
    <w:rsid w:val="00695849"/>
    <w:rsid w:val="006B1529"/>
    <w:rsid w:val="006C2240"/>
    <w:rsid w:val="006C6960"/>
    <w:rsid w:val="006D01EC"/>
    <w:rsid w:val="00720B64"/>
    <w:rsid w:val="00722438"/>
    <w:rsid w:val="007359B0"/>
    <w:rsid w:val="007552E3"/>
    <w:rsid w:val="00764569"/>
    <w:rsid w:val="0076583F"/>
    <w:rsid w:val="007A7F84"/>
    <w:rsid w:val="007C2EC6"/>
    <w:rsid w:val="007C639F"/>
    <w:rsid w:val="00805C78"/>
    <w:rsid w:val="00832454"/>
    <w:rsid w:val="00857D75"/>
    <w:rsid w:val="00871A93"/>
    <w:rsid w:val="008A6265"/>
    <w:rsid w:val="008A67B6"/>
    <w:rsid w:val="008D4672"/>
    <w:rsid w:val="00907E97"/>
    <w:rsid w:val="00927B8D"/>
    <w:rsid w:val="00973874"/>
    <w:rsid w:val="009932E5"/>
    <w:rsid w:val="009A0487"/>
    <w:rsid w:val="009C45F4"/>
    <w:rsid w:val="009C6A6C"/>
    <w:rsid w:val="009D64FC"/>
    <w:rsid w:val="00A111B6"/>
    <w:rsid w:val="00A21F29"/>
    <w:rsid w:val="00A3756F"/>
    <w:rsid w:val="00A37BE2"/>
    <w:rsid w:val="00A43B68"/>
    <w:rsid w:val="00A46E38"/>
    <w:rsid w:val="00A50FE6"/>
    <w:rsid w:val="00A65183"/>
    <w:rsid w:val="00AB6C02"/>
    <w:rsid w:val="00AE30B4"/>
    <w:rsid w:val="00AE3B1B"/>
    <w:rsid w:val="00AF253D"/>
    <w:rsid w:val="00B043E6"/>
    <w:rsid w:val="00B13BB3"/>
    <w:rsid w:val="00B24EFE"/>
    <w:rsid w:val="00B24F6A"/>
    <w:rsid w:val="00B36B69"/>
    <w:rsid w:val="00B577BB"/>
    <w:rsid w:val="00B6259D"/>
    <w:rsid w:val="00B85F9C"/>
    <w:rsid w:val="00B934B8"/>
    <w:rsid w:val="00B958FC"/>
    <w:rsid w:val="00BA40D6"/>
    <w:rsid w:val="00BB25EA"/>
    <w:rsid w:val="00BB3A76"/>
    <w:rsid w:val="00BC0F54"/>
    <w:rsid w:val="00BF1BE7"/>
    <w:rsid w:val="00C01D71"/>
    <w:rsid w:val="00C16782"/>
    <w:rsid w:val="00C46CD6"/>
    <w:rsid w:val="00C5661A"/>
    <w:rsid w:val="00C61388"/>
    <w:rsid w:val="00C94562"/>
    <w:rsid w:val="00CB2506"/>
    <w:rsid w:val="00CC2D2B"/>
    <w:rsid w:val="00CF5FD1"/>
    <w:rsid w:val="00D07981"/>
    <w:rsid w:val="00D4345F"/>
    <w:rsid w:val="00D47EF5"/>
    <w:rsid w:val="00D5476B"/>
    <w:rsid w:val="00D671E1"/>
    <w:rsid w:val="00DB74F3"/>
    <w:rsid w:val="00DC6B0E"/>
    <w:rsid w:val="00DF6084"/>
    <w:rsid w:val="00E04FB2"/>
    <w:rsid w:val="00E25EC3"/>
    <w:rsid w:val="00E3000D"/>
    <w:rsid w:val="00E45396"/>
    <w:rsid w:val="00E520A9"/>
    <w:rsid w:val="00E53ED4"/>
    <w:rsid w:val="00E63DE9"/>
    <w:rsid w:val="00E718C0"/>
    <w:rsid w:val="00E908C9"/>
    <w:rsid w:val="00EE46A2"/>
    <w:rsid w:val="00EF0114"/>
    <w:rsid w:val="00F15E25"/>
    <w:rsid w:val="00F6538E"/>
    <w:rsid w:val="00F70B4F"/>
    <w:rsid w:val="00F77B58"/>
    <w:rsid w:val="00F86812"/>
    <w:rsid w:val="00FB0386"/>
    <w:rsid w:val="00FC5A4C"/>
    <w:rsid w:val="00FD690A"/>
    <w:rsid w:val="00FE0A55"/>
    <w:rsid w:val="00FE3F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BEDFE4-E75B-4DAD-8E64-673A09D4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5CC2"/>
    <w:pPr>
      <w:spacing w:after="200" w:line="276" w:lineRule="auto"/>
    </w:pPr>
    <w:rPr>
      <w:lang w:eastAsia="en-US"/>
    </w:rPr>
  </w:style>
  <w:style w:type="paragraph" w:styleId="Titolo1">
    <w:name w:val="heading 1"/>
    <w:basedOn w:val="Normale"/>
    <w:next w:val="Normale"/>
    <w:link w:val="Titolo1Carattere"/>
    <w:uiPriority w:val="99"/>
    <w:qFormat/>
    <w:rsid w:val="006C2240"/>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9"/>
    <w:qFormat/>
    <w:rsid w:val="006C2240"/>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9"/>
    <w:qFormat/>
    <w:rsid w:val="006C2240"/>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9"/>
    <w:qFormat/>
    <w:rsid w:val="005C4690"/>
    <w:pPr>
      <w:keepNext/>
      <w:keepLines/>
      <w:spacing w:before="200" w:after="0"/>
      <w:outlineLvl w:val="3"/>
    </w:pPr>
    <w:rPr>
      <w:rFonts w:ascii="Cambria" w:eastAsia="Times New Roman"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C2240"/>
    <w:rPr>
      <w:rFonts w:ascii="Cambria" w:hAnsi="Cambria" w:cs="Times New Roman"/>
      <w:b/>
      <w:bCs/>
      <w:color w:val="365F91"/>
      <w:sz w:val="28"/>
      <w:szCs w:val="28"/>
    </w:rPr>
  </w:style>
  <w:style w:type="character" w:customStyle="1" w:styleId="Titolo2Carattere">
    <w:name w:val="Titolo 2 Carattere"/>
    <w:basedOn w:val="Carpredefinitoparagrafo"/>
    <w:link w:val="Titolo2"/>
    <w:uiPriority w:val="99"/>
    <w:locked/>
    <w:rsid w:val="006C2240"/>
    <w:rPr>
      <w:rFonts w:ascii="Cambria" w:hAnsi="Cambria" w:cs="Times New Roman"/>
      <w:b/>
      <w:bCs/>
      <w:color w:val="4F81BD"/>
      <w:sz w:val="26"/>
      <w:szCs w:val="26"/>
    </w:rPr>
  </w:style>
  <w:style w:type="character" w:customStyle="1" w:styleId="Titolo3Carattere">
    <w:name w:val="Titolo 3 Carattere"/>
    <w:basedOn w:val="Carpredefinitoparagrafo"/>
    <w:link w:val="Titolo3"/>
    <w:uiPriority w:val="99"/>
    <w:locked/>
    <w:rsid w:val="006C2240"/>
    <w:rPr>
      <w:rFonts w:ascii="Cambria" w:hAnsi="Cambria" w:cs="Times New Roman"/>
      <w:b/>
      <w:bCs/>
      <w:color w:val="4F81BD"/>
    </w:rPr>
  </w:style>
  <w:style w:type="character" w:customStyle="1" w:styleId="Titolo4Carattere">
    <w:name w:val="Titolo 4 Carattere"/>
    <w:basedOn w:val="Carpredefinitoparagrafo"/>
    <w:link w:val="Titolo4"/>
    <w:uiPriority w:val="99"/>
    <w:locked/>
    <w:rsid w:val="005C4690"/>
    <w:rPr>
      <w:rFonts w:ascii="Cambria" w:hAnsi="Cambria" w:cs="Times New Roman"/>
      <w:b/>
      <w:bCs/>
      <w:i/>
      <w:iCs/>
      <w:color w:val="4F81BD"/>
    </w:rPr>
  </w:style>
  <w:style w:type="paragraph" w:styleId="Paragrafoelenco">
    <w:name w:val="List Paragraph"/>
    <w:basedOn w:val="Normale"/>
    <w:uiPriority w:val="99"/>
    <w:qFormat/>
    <w:rsid w:val="006C2240"/>
    <w:pPr>
      <w:ind w:left="720"/>
      <w:contextualSpacing/>
    </w:pPr>
  </w:style>
  <w:style w:type="paragraph" w:styleId="Intestazione">
    <w:name w:val="header"/>
    <w:basedOn w:val="Normale"/>
    <w:link w:val="IntestazioneCarattere"/>
    <w:uiPriority w:val="99"/>
    <w:rsid w:val="006C22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6C2240"/>
    <w:rPr>
      <w:rFonts w:cs="Times New Roman"/>
    </w:rPr>
  </w:style>
  <w:style w:type="paragraph" w:styleId="Pidipagina">
    <w:name w:val="footer"/>
    <w:basedOn w:val="Normale"/>
    <w:link w:val="PidipaginaCarattere"/>
    <w:uiPriority w:val="99"/>
    <w:rsid w:val="006C22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C2240"/>
    <w:rPr>
      <w:rFonts w:cs="Times New Roman"/>
    </w:rPr>
  </w:style>
  <w:style w:type="table" w:styleId="Grigliatabella">
    <w:name w:val="Table Grid"/>
    <w:basedOn w:val="Tabellanormale"/>
    <w:uiPriority w:val="99"/>
    <w:rsid w:val="00C566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semiHidden/>
    <w:rsid w:val="00C16782"/>
    <w:pPr>
      <w:spacing w:after="0" w:line="240" w:lineRule="auto"/>
      <w:ind w:left="220" w:hanging="220"/>
    </w:pPr>
  </w:style>
  <w:style w:type="paragraph" w:styleId="Titolosommario">
    <w:name w:val="TOC Heading"/>
    <w:basedOn w:val="Titolo1"/>
    <w:next w:val="Normale"/>
    <w:uiPriority w:val="99"/>
    <w:qFormat/>
    <w:rsid w:val="008D4672"/>
    <w:pPr>
      <w:outlineLvl w:val="9"/>
    </w:pPr>
    <w:rPr>
      <w:lang w:eastAsia="it-IT"/>
    </w:rPr>
  </w:style>
  <w:style w:type="paragraph" w:styleId="Sommario1">
    <w:name w:val="toc 1"/>
    <w:basedOn w:val="Normale"/>
    <w:next w:val="Normale"/>
    <w:autoRedefine/>
    <w:uiPriority w:val="99"/>
    <w:rsid w:val="008D4672"/>
    <w:pPr>
      <w:spacing w:after="100"/>
    </w:pPr>
  </w:style>
  <w:style w:type="paragraph" w:styleId="Sommario2">
    <w:name w:val="toc 2"/>
    <w:basedOn w:val="Normale"/>
    <w:next w:val="Normale"/>
    <w:autoRedefine/>
    <w:uiPriority w:val="99"/>
    <w:rsid w:val="00973874"/>
    <w:pPr>
      <w:tabs>
        <w:tab w:val="left" w:pos="880"/>
        <w:tab w:val="right" w:leader="dot" w:pos="9628"/>
      </w:tabs>
      <w:spacing w:after="100"/>
      <w:ind w:left="220"/>
    </w:pPr>
    <w:rPr>
      <w:rFonts w:ascii="Times New Roman" w:hAnsi="Times New Roman"/>
      <w:i/>
      <w:noProof/>
    </w:rPr>
  </w:style>
  <w:style w:type="paragraph" w:styleId="Sommario3">
    <w:name w:val="toc 3"/>
    <w:basedOn w:val="Normale"/>
    <w:next w:val="Normale"/>
    <w:autoRedefine/>
    <w:uiPriority w:val="99"/>
    <w:rsid w:val="008D4672"/>
    <w:pPr>
      <w:spacing w:after="100"/>
      <w:ind w:left="440"/>
    </w:pPr>
  </w:style>
  <w:style w:type="character" w:styleId="Collegamentoipertestuale">
    <w:name w:val="Hyperlink"/>
    <w:basedOn w:val="Carpredefinitoparagrafo"/>
    <w:uiPriority w:val="99"/>
    <w:rsid w:val="008D4672"/>
    <w:rPr>
      <w:rFonts w:cs="Times New Roman"/>
      <w:color w:val="0000FF"/>
      <w:u w:val="single"/>
    </w:rPr>
  </w:style>
  <w:style w:type="paragraph" w:styleId="Testofumetto">
    <w:name w:val="Balloon Text"/>
    <w:basedOn w:val="Normale"/>
    <w:link w:val="TestofumettoCarattere"/>
    <w:uiPriority w:val="99"/>
    <w:semiHidden/>
    <w:rsid w:val="008D46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D4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905391">
      <w:marLeft w:val="0"/>
      <w:marRight w:val="0"/>
      <w:marTop w:val="0"/>
      <w:marBottom w:val="0"/>
      <w:divBdr>
        <w:top w:val="none" w:sz="0" w:space="0" w:color="auto"/>
        <w:left w:val="none" w:sz="0" w:space="0" w:color="auto"/>
        <w:bottom w:val="none" w:sz="0" w:space="0" w:color="auto"/>
        <w:right w:val="none" w:sz="0" w:space="0" w:color="auto"/>
      </w:divBdr>
    </w:div>
    <w:div w:id="1583905392">
      <w:marLeft w:val="0"/>
      <w:marRight w:val="0"/>
      <w:marTop w:val="0"/>
      <w:marBottom w:val="0"/>
      <w:divBdr>
        <w:top w:val="none" w:sz="0" w:space="0" w:color="auto"/>
        <w:left w:val="none" w:sz="0" w:space="0" w:color="auto"/>
        <w:bottom w:val="none" w:sz="0" w:space="0" w:color="auto"/>
        <w:right w:val="none" w:sz="0" w:space="0" w:color="auto"/>
      </w:divBdr>
    </w:div>
    <w:div w:id="1583905393">
      <w:marLeft w:val="0"/>
      <w:marRight w:val="0"/>
      <w:marTop w:val="0"/>
      <w:marBottom w:val="0"/>
      <w:divBdr>
        <w:top w:val="none" w:sz="0" w:space="0" w:color="auto"/>
        <w:left w:val="none" w:sz="0" w:space="0" w:color="auto"/>
        <w:bottom w:val="none" w:sz="0" w:space="0" w:color="auto"/>
        <w:right w:val="none" w:sz="0" w:space="0" w:color="auto"/>
      </w:divBdr>
    </w:div>
    <w:div w:id="1583905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1628</Words>
  <Characters>10768</Characters>
  <Application>Microsoft Office Word</Application>
  <DocSecurity>0</DocSecurity>
  <Lines>89</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Carlo Cagnani</cp:lastModifiedBy>
  <cp:revision>8</cp:revision>
  <cp:lastPrinted>2015-11-10T12:56:00Z</cp:lastPrinted>
  <dcterms:created xsi:type="dcterms:W3CDTF">2016-11-30T12:58:00Z</dcterms:created>
  <dcterms:modified xsi:type="dcterms:W3CDTF">2016-12-02T15:31:00Z</dcterms:modified>
</cp:coreProperties>
</file>